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5DB3" w14:textId="47F64251" w:rsidR="004C2308" w:rsidRPr="00A727CB" w:rsidRDefault="00A727CB" w:rsidP="00A727CB">
      <w:pPr>
        <w:pStyle w:val="BodyA"/>
        <w:jc w:val="center"/>
        <w:rPr>
          <w:rFonts w:ascii="Arial" w:eastAsia="Arial" w:hAnsi="Arial" w:cs="Arial"/>
        </w:rPr>
      </w:pPr>
      <w:r>
        <w:rPr>
          <w:rFonts w:ascii="Arial" w:eastAsia="Arial" w:hAnsi="Arial" w:cs="Arial"/>
          <w:noProof/>
        </w:rPr>
        <w:drawing>
          <wp:anchor distT="152400" distB="152400" distL="152400" distR="152400" simplePos="0" relativeHeight="251659264" behindDoc="0" locked="0" layoutInCell="1" allowOverlap="1" wp14:anchorId="6604F6FA" wp14:editId="0E0DF17F">
            <wp:simplePos x="0" y="0"/>
            <wp:positionH relativeFrom="margin">
              <wp:align>center</wp:align>
            </wp:positionH>
            <wp:positionV relativeFrom="page">
              <wp:posOffset>361950</wp:posOffset>
            </wp:positionV>
            <wp:extent cx="5086730" cy="1979534"/>
            <wp:effectExtent l="0" t="0" r="0" b="1905"/>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rcRect/>
                    <a:stretch>
                      <a:fillRect/>
                    </a:stretch>
                  </pic:blipFill>
                  <pic:spPr>
                    <a:xfrm>
                      <a:off x="0" y="0"/>
                      <a:ext cx="5086730" cy="1979534"/>
                    </a:xfrm>
                    <a:prstGeom prst="rect">
                      <a:avLst/>
                    </a:prstGeom>
                    <a:ln w="12700" cap="flat">
                      <a:noFill/>
                      <a:miter lim="400000"/>
                    </a:ln>
                    <a:effectLst/>
                  </pic:spPr>
                </pic:pic>
              </a:graphicData>
            </a:graphic>
          </wp:anchor>
        </w:drawing>
      </w:r>
      <w:r>
        <w:rPr>
          <w:rFonts w:ascii="Comic Sans MS" w:hAnsi="Comic Sans MS"/>
          <w:sz w:val="48"/>
          <w:szCs w:val="48"/>
        </w:rPr>
        <w:t xml:space="preserve">Policy for Supporting Pupils at School with Medical Conditions </w:t>
      </w:r>
    </w:p>
    <w:p w14:paraId="07156F34" w14:textId="4F9C0089" w:rsidR="004C2308" w:rsidRDefault="00A727CB">
      <w:pPr>
        <w:pStyle w:val="BodyA"/>
        <w:rPr>
          <w:rFonts w:ascii="Arial" w:eastAsia="Arial" w:hAnsi="Arial" w:cs="Arial"/>
          <w:sz w:val="32"/>
          <w:szCs w:val="32"/>
        </w:rPr>
      </w:pPr>
      <w:r>
        <w:rPr>
          <w:rFonts w:ascii="Arial" w:hAnsi="Arial"/>
          <w:sz w:val="32"/>
          <w:szCs w:val="32"/>
        </w:rPr>
        <w:t>Next date for review : Summer 2026</w:t>
      </w:r>
    </w:p>
    <w:p w14:paraId="5C57C2D4" w14:textId="77777777" w:rsidR="004C2308" w:rsidRDefault="004C2308">
      <w:pPr>
        <w:pStyle w:val="BodyA"/>
        <w:rPr>
          <w:rFonts w:ascii="Arial" w:eastAsia="Arial" w:hAnsi="Arial" w:cs="Arial"/>
          <w:sz w:val="32"/>
          <w:szCs w:val="32"/>
        </w:rPr>
      </w:pPr>
    </w:p>
    <w:p w14:paraId="2DDA2DE9" w14:textId="5E1E5922" w:rsidR="004C2308" w:rsidRDefault="00A727CB">
      <w:pPr>
        <w:pStyle w:val="BodyA"/>
        <w:rPr>
          <w:rFonts w:ascii="Arial" w:eastAsia="Arial" w:hAnsi="Arial" w:cs="Arial"/>
          <w:sz w:val="32"/>
          <w:szCs w:val="32"/>
        </w:rPr>
      </w:pPr>
      <w:r>
        <w:rPr>
          <w:rFonts w:ascii="Arial" w:hAnsi="Arial"/>
          <w:sz w:val="32"/>
          <w:szCs w:val="32"/>
        </w:rPr>
        <w:t>Reviewed on: Summer 2024</w:t>
      </w:r>
    </w:p>
    <w:p w14:paraId="262016E4" w14:textId="13501A67" w:rsidR="004C2308" w:rsidRPr="00947DC0" w:rsidRDefault="00A727CB">
      <w:pPr>
        <w:pStyle w:val="BodyA"/>
        <w:rPr>
          <w:rFonts w:ascii="Dreaming Outloud Script Pro" w:eastAsia="Arial" w:hAnsi="Dreaming Outloud Script Pro" w:cs="Dreaming Outloud Script Pro"/>
          <w:sz w:val="32"/>
          <w:szCs w:val="32"/>
        </w:rPr>
      </w:pPr>
      <w:r>
        <w:rPr>
          <w:rFonts w:ascii="Arial" w:hAnsi="Arial"/>
          <w:sz w:val="32"/>
          <w:szCs w:val="32"/>
        </w:rPr>
        <w:t>Signed by:</w:t>
      </w:r>
      <w:r w:rsidR="00947DC0">
        <w:rPr>
          <w:rFonts w:ascii="Dreaming Outloud Script Pro" w:hAnsi="Dreaming Outloud Script Pro" w:cs="Dreaming Outloud Script Pro"/>
          <w:sz w:val="32"/>
          <w:szCs w:val="32"/>
        </w:rPr>
        <w:t>Lynn Wong ( Chair of governors)</w:t>
      </w:r>
    </w:p>
    <w:p w14:paraId="381AFB1A" w14:textId="77777777" w:rsidR="004C2308" w:rsidRDefault="004C2308">
      <w:pPr>
        <w:pStyle w:val="BodyB"/>
      </w:pPr>
    </w:p>
    <w:p w14:paraId="7E1FD8DA" w14:textId="77777777" w:rsidR="004C2308" w:rsidRDefault="004C2308">
      <w:pPr>
        <w:pStyle w:val="BodyB"/>
      </w:pPr>
    </w:p>
    <w:p w14:paraId="26CF1D2E" w14:textId="77777777" w:rsidR="004C2308" w:rsidRDefault="004C2308">
      <w:pPr>
        <w:pStyle w:val="BodyB"/>
      </w:pPr>
    </w:p>
    <w:p w14:paraId="729F3C75" w14:textId="77777777" w:rsidR="004C2308" w:rsidRDefault="004C2308">
      <w:pPr>
        <w:pStyle w:val="BodyB"/>
      </w:pPr>
    </w:p>
    <w:p w14:paraId="61DF5108" w14:textId="77777777" w:rsidR="004C2308" w:rsidRDefault="00A727CB">
      <w:pPr>
        <w:pStyle w:val="BodyB"/>
      </w:pPr>
      <w:r>
        <w:rPr>
          <w:rFonts w:eastAsia="Arial Unicode MS" w:cs="Arial Unicode MS"/>
          <w:lang w:val="en-US"/>
        </w:rPr>
        <w:t>If schools remove or add content from this policy, they must check that it remains compliant with all statutory guidance.</w:t>
      </w:r>
      <w:r>
        <w:rPr>
          <w:rFonts w:ascii="Arial Unicode MS" w:eastAsia="Arial Unicode MS" w:hAnsi="Arial Unicode MS" w:cs="Arial Unicode MS"/>
        </w:rPr>
        <w:br w:type="page"/>
      </w:r>
    </w:p>
    <w:p w14:paraId="4F349BE9" w14:textId="77777777" w:rsidR="004C2308" w:rsidRDefault="00A727CB">
      <w:pPr>
        <w:pStyle w:val="TOCHeading"/>
      </w:pPr>
      <w:r>
        <w:lastRenderedPageBreak/>
        <w:t>Contents</w:t>
      </w:r>
    </w:p>
    <w:p w14:paraId="304E2B16" w14:textId="77777777" w:rsidR="004C2308" w:rsidRDefault="00A727CB">
      <w:pPr>
        <w:pStyle w:val="BodyB"/>
      </w:pPr>
      <w:r>
        <w:fldChar w:fldCharType="begin"/>
      </w:r>
      <w:r>
        <w:instrText xml:space="preserve"> TOC \o 1-2 </w:instrText>
      </w:r>
      <w:r>
        <w:fldChar w:fldCharType="separate"/>
      </w:r>
    </w:p>
    <w:p w14:paraId="41D7C4FB" w14:textId="77777777" w:rsidR="004C2308" w:rsidRDefault="00A727CB">
      <w:pPr>
        <w:pStyle w:val="TOC1"/>
        <w:numPr>
          <w:ilvl w:val="0"/>
          <w:numId w:val="1"/>
        </w:numPr>
      </w:pPr>
      <w:r>
        <w:rPr>
          <w:rFonts w:eastAsia="Arial Unicode MS" w:cs="Arial Unicode MS"/>
        </w:rPr>
        <w:t>Purpose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0DACB0CC" w14:textId="77777777" w:rsidR="004C2308" w:rsidRDefault="00A727CB">
      <w:pPr>
        <w:pStyle w:val="TOC1"/>
        <w:numPr>
          <w:ilvl w:val="0"/>
          <w:numId w:val="2"/>
        </w:numPr>
      </w:pPr>
      <w:r>
        <w:rPr>
          <w:rFonts w:eastAsia="Arial Unicode MS" w:cs="Arial Unicode MS"/>
        </w:rPr>
        <w:t>Roles &amp; Responsibilities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35072CE5" w14:textId="77777777" w:rsidR="004C2308" w:rsidRDefault="00A727CB">
      <w:pPr>
        <w:pStyle w:val="TOC2"/>
      </w:pPr>
      <w:r>
        <w:rPr>
          <w:rFonts w:eastAsia="Arial Unicode MS" w:cs="Arial Unicode MS"/>
        </w:rPr>
        <w:t>2.1 The governing Board</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6F521C2A" w14:textId="77777777" w:rsidR="004C2308" w:rsidRDefault="00A727CB">
      <w:pPr>
        <w:pStyle w:val="TOC2"/>
      </w:pPr>
      <w:r>
        <w:rPr>
          <w:rFonts w:eastAsia="Arial Unicode MS" w:cs="Arial Unicode MS"/>
        </w:rPr>
        <w:t>2.2 The Headteacher</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3</w:t>
      </w:r>
      <w:r>
        <w:fldChar w:fldCharType="end"/>
      </w:r>
    </w:p>
    <w:p w14:paraId="3C0F6255" w14:textId="77777777" w:rsidR="004C2308" w:rsidRDefault="00A727CB">
      <w:pPr>
        <w:pStyle w:val="TOC2"/>
      </w:pPr>
      <w:r>
        <w:rPr>
          <w:rFonts w:eastAsia="Arial Unicode MS" w:cs="Arial Unicode MS"/>
        </w:rPr>
        <w:t>2.3 Parents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353C2016" w14:textId="77777777" w:rsidR="004C2308" w:rsidRDefault="00A727CB">
      <w:pPr>
        <w:pStyle w:val="TOC2"/>
      </w:pPr>
      <w:r>
        <w:rPr>
          <w:rFonts w:eastAsia="Arial Unicode MS" w:cs="Arial Unicode MS"/>
        </w:rPr>
        <w:t>2.4 Pupils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4</w:t>
      </w:r>
      <w:r>
        <w:fldChar w:fldCharType="end"/>
      </w:r>
    </w:p>
    <w:p w14:paraId="5EA7B139" w14:textId="77777777" w:rsidR="004C2308" w:rsidRDefault="00A727CB">
      <w:pPr>
        <w:pStyle w:val="TOC2"/>
      </w:pPr>
      <w:r>
        <w:rPr>
          <w:rFonts w:eastAsia="Arial Unicode MS" w:cs="Arial Unicode MS"/>
        </w:rPr>
        <w:t>2.5 School Staff</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4</w:t>
      </w:r>
      <w:r>
        <w:fldChar w:fldCharType="end"/>
      </w:r>
    </w:p>
    <w:p w14:paraId="6246D19D" w14:textId="77777777" w:rsidR="004C2308" w:rsidRDefault="00A727CB">
      <w:pPr>
        <w:pStyle w:val="TOC2"/>
      </w:pPr>
      <w:r>
        <w:rPr>
          <w:rFonts w:eastAsia="Arial Unicode MS" w:cs="Arial Unicode MS"/>
        </w:rPr>
        <w:t>2.6 Other Healthcare Professionals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4</w:t>
      </w:r>
      <w:r>
        <w:fldChar w:fldCharType="end"/>
      </w:r>
    </w:p>
    <w:p w14:paraId="51E4622E" w14:textId="77777777" w:rsidR="004C2308" w:rsidRDefault="00A727CB">
      <w:pPr>
        <w:pStyle w:val="TOC1"/>
        <w:numPr>
          <w:ilvl w:val="0"/>
          <w:numId w:val="3"/>
        </w:numPr>
      </w:pPr>
      <w:r>
        <w:rPr>
          <w:rFonts w:eastAsia="Arial Unicode MS" w:cs="Arial Unicode MS"/>
        </w:rPr>
        <w:t>Staff Training &amp; Support</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4</w:t>
      </w:r>
      <w:r>
        <w:fldChar w:fldCharType="end"/>
      </w:r>
    </w:p>
    <w:p w14:paraId="41975900" w14:textId="77777777" w:rsidR="004C2308" w:rsidRDefault="00A727CB">
      <w:pPr>
        <w:pStyle w:val="TOC1"/>
        <w:numPr>
          <w:ilvl w:val="0"/>
          <w:numId w:val="4"/>
        </w:numPr>
      </w:pPr>
      <w:r>
        <w:rPr>
          <w:rFonts w:eastAsia="Arial Unicode MS" w:cs="Arial Unicode MS"/>
        </w:rPr>
        <w:t>Managing Medicine on School Premises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5</w:t>
      </w:r>
      <w:r>
        <w:fldChar w:fldCharType="end"/>
      </w:r>
    </w:p>
    <w:p w14:paraId="663E2A1E" w14:textId="77777777" w:rsidR="004C2308" w:rsidRDefault="00A727CB">
      <w:pPr>
        <w:pStyle w:val="TOC2"/>
      </w:pPr>
      <w:r>
        <w:rPr>
          <w:rFonts w:eastAsia="Arial Unicode MS" w:cs="Arial Unicode MS"/>
        </w:rPr>
        <w:t>4.1 Controlled Drugs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5</w:t>
      </w:r>
      <w:r>
        <w:fldChar w:fldCharType="end"/>
      </w:r>
    </w:p>
    <w:p w14:paraId="79E2A7EC" w14:textId="77777777" w:rsidR="004C2308" w:rsidRDefault="00A727CB">
      <w:pPr>
        <w:pStyle w:val="TOC1"/>
        <w:numPr>
          <w:ilvl w:val="0"/>
          <w:numId w:val="5"/>
        </w:numPr>
      </w:pPr>
      <w:r>
        <w:rPr>
          <w:rFonts w:eastAsia="Arial Unicode MS" w:cs="Arial Unicode MS"/>
        </w:rPr>
        <w:t>Record Keeping</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6</w:t>
      </w:r>
      <w:r>
        <w:fldChar w:fldCharType="end"/>
      </w:r>
    </w:p>
    <w:p w14:paraId="0750FF93" w14:textId="77777777" w:rsidR="004C2308" w:rsidRDefault="00A727CB">
      <w:pPr>
        <w:pStyle w:val="TOC1"/>
        <w:numPr>
          <w:ilvl w:val="0"/>
          <w:numId w:val="6"/>
        </w:numPr>
      </w:pPr>
      <w:r>
        <w:rPr>
          <w:rFonts w:eastAsia="Arial Unicode MS" w:cs="Arial Unicode MS"/>
        </w:rPr>
        <w:t>Individual Healthcare Plans</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6</w:t>
      </w:r>
      <w:r>
        <w:fldChar w:fldCharType="end"/>
      </w:r>
    </w:p>
    <w:p w14:paraId="4969612D" w14:textId="77777777" w:rsidR="004C2308" w:rsidRDefault="00A727CB">
      <w:pPr>
        <w:pStyle w:val="TOC1"/>
        <w:numPr>
          <w:ilvl w:val="0"/>
          <w:numId w:val="7"/>
        </w:numPr>
      </w:pPr>
      <w:r>
        <w:rPr>
          <w:rFonts w:eastAsia="Arial Unicode MS" w:cs="Arial Unicode MS"/>
        </w:rPr>
        <w:t>Emergency Procedures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7</w:t>
      </w:r>
      <w:r>
        <w:fldChar w:fldCharType="end"/>
      </w:r>
    </w:p>
    <w:p w14:paraId="6AC1CCB8" w14:textId="77777777" w:rsidR="004C2308" w:rsidRDefault="00A727CB">
      <w:pPr>
        <w:pStyle w:val="TOC1"/>
        <w:numPr>
          <w:ilvl w:val="0"/>
          <w:numId w:val="8"/>
        </w:numPr>
      </w:pPr>
      <w:r>
        <w:rPr>
          <w:rFonts w:eastAsia="Arial Unicode MS" w:cs="Arial Unicode MS"/>
        </w:rPr>
        <w:t>Equal Opportunities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7</w:t>
      </w:r>
      <w:r>
        <w:fldChar w:fldCharType="end"/>
      </w:r>
    </w:p>
    <w:p w14:paraId="27D792BA" w14:textId="77777777" w:rsidR="004C2308" w:rsidRDefault="00A727CB">
      <w:pPr>
        <w:pStyle w:val="TOC1"/>
        <w:numPr>
          <w:ilvl w:val="0"/>
          <w:numId w:val="9"/>
        </w:numPr>
      </w:pPr>
      <w:r>
        <w:rPr>
          <w:rFonts w:eastAsia="Arial Unicode MS" w:cs="Arial Unicode MS"/>
        </w:rPr>
        <w:t>Unacceptable Practice:</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7</w:t>
      </w:r>
      <w:r>
        <w:fldChar w:fldCharType="end"/>
      </w:r>
    </w:p>
    <w:p w14:paraId="1424A1EB" w14:textId="77777777" w:rsidR="004C2308" w:rsidRDefault="00A727CB">
      <w:pPr>
        <w:pStyle w:val="TOC1"/>
        <w:numPr>
          <w:ilvl w:val="0"/>
          <w:numId w:val="10"/>
        </w:numPr>
      </w:pPr>
      <w:r>
        <w:rPr>
          <w:rFonts w:eastAsia="Arial Unicode MS" w:cs="Arial Unicode MS"/>
        </w:rPr>
        <w:t>Liability &amp; Indemnity</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8</w:t>
      </w:r>
      <w:r>
        <w:fldChar w:fldCharType="end"/>
      </w:r>
    </w:p>
    <w:p w14:paraId="5C647EA0" w14:textId="77777777" w:rsidR="004C2308" w:rsidRDefault="00A727CB">
      <w:pPr>
        <w:pStyle w:val="TOC1"/>
        <w:numPr>
          <w:ilvl w:val="0"/>
          <w:numId w:val="11"/>
        </w:numPr>
      </w:pPr>
      <w:r>
        <w:rPr>
          <w:rFonts w:eastAsia="Arial Unicode MS" w:cs="Arial Unicode MS"/>
        </w:rPr>
        <w:t>Complaints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8</w:t>
      </w:r>
      <w:r>
        <w:fldChar w:fldCharType="end"/>
      </w:r>
    </w:p>
    <w:p w14:paraId="165A9A31" w14:textId="77777777" w:rsidR="004C2308" w:rsidRDefault="00A727CB">
      <w:pPr>
        <w:pStyle w:val="BodyB"/>
      </w:pPr>
      <w:r>
        <w:fldChar w:fldCharType="end"/>
      </w:r>
    </w:p>
    <w:p w14:paraId="2CDA0A04" w14:textId="77777777" w:rsidR="004C2308" w:rsidRDefault="004C2308">
      <w:pPr>
        <w:pStyle w:val="BodyB"/>
      </w:pPr>
    </w:p>
    <w:p w14:paraId="43BF087B" w14:textId="77777777" w:rsidR="004C2308" w:rsidRDefault="004C2308">
      <w:pPr>
        <w:pStyle w:val="BodyB"/>
      </w:pPr>
    </w:p>
    <w:p w14:paraId="12B52609" w14:textId="77777777" w:rsidR="004C2308" w:rsidRDefault="00A727CB">
      <w:pPr>
        <w:pStyle w:val="BodyB"/>
      </w:pPr>
      <w:r>
        <w:rPr>
          <w:rFonts w:ascii="Arial Unicode MS" w:eastAsia="Arial Unicode MS" w:hAnsi="Arial Unicode MS" w:cs="Arial Unicode MS"/>
        </w:rPr>
        <w:br w:type="page"/>
      </w:r>
    </w:p>
    <w:p w14:paraId="4A80E875" w14:textId="77777777" w:rsidR="004C2308" w:rsidRDefault="00A727CB">
      <w:pPr>
        <w:pStyle w:val="Heading"/>
        <w:numPr>
          <w:ilvl w:val="0"/>
          <w:numId w:val="13"/>
        </w:numPr>
      </w:pPr>
      <w:bookmarkStart w:id="0" w:name="_Toc"/>
      <w:r>
        <w:rPr>
          <w:lang w:val="en-US"/>
        </w:rPr>
        <w:lastRenderedPageBreak/>
        <w:t>Purpose</w:t>
      </w:r>
      <w:bookmarkEnd w:id="0"/>
    </w:p>
    <w:p w14:paraId="4E62AB64" w14:textId="77777777" w:rsidR="004C2308" w:rsidRDefault="00A727CB">
      <w:pPr>
        <w:pStyle w:val="NoSpacing"/>
        <w:ind w:left="720"/>
      </w:pPr>
      <w:r>
        <w:t>The purpose of the Policy for Supporting Pupils at School with Medical Conditions is to ensure that:</w:t>
      </w:r>
    </w:p>
    <w:p w14:paraId="3A5601D5" w14:textId="77777777" w:rsidR="004C2308" w:rsidRDefault="00A727CB">
      <w:pPr>
        <w:pStyle w:val="NoSpacing"/>
        <w:numPr>
          <w:ilvl w:val="0"/>
          <w:numId w:val="15"/>
        </w:numPr>
      </w:pPr>
      <w:r>
        <w:t>Pupils, staff and parents understand how our school will support pupils with medical conditions</w:t>
      </w:r>
    </w:p>
    <w:p w14:paraId="10910E71" w14:textId="77777777" w:rsidR="004C2308" w:rsidRDefault="00A727CB">
      <w:pPr>
        <w:pStyle w:val="NoSpacing"/>
        <w:numPr>
          <w:ilvl w:val="0"/>
          <w:numId w:val="15"/>
        </w:numPr>
      </w:pPr>
      <w:r>
        <w:t>Pupils with medical conditions are properly supported to allow them to access the same education as other pupils, including school trips and sporting activities</w:t>
      </w:r>
    </w:p>
    <w:p w14:paraId="27E3B229" w14:textId="77777777" w:rsidR="004C2308" w:rsidRDefault="004C2308">
      <w:pPr>
        <w:pStyle w:val="NoSpacing"/>
        <w:ind w:left="720"/>
      </w:pPr>
    </w:p>
    <w:p w14:paraId="65368FB5" w14:textId="77777777" w:rsidR="004C2308" w:rsidRDefault="00A727CB">
      <w:pPr>
        <w:pStyle w:val="NoSpacing"/>
        <w:ind w:left="720"/>
      </w:pPr>
      <w:r>
        <w:t>The Governing Board will implement the policy by:</w:t>
      </w:r>
    </w:p>
    <w:p w14:paraId="7933F129" w14:textId="77777777" w:rsidR="004C2308" w:rsidRDefault="00A727CB">
      <w:pPr>
        <w:pStyle w:val="NoSpacing"/>
        <w:numPr>
          <w:ilvl w:val="0"/>
          <w:numId w:val="17"/>
        </w:numPr>
      </w:pPr>
      <w:r>
        <w:t>Making sure sufficient staff are suitably trained</w:t>
      </w:r>
    </w:p>
    <w:p w14:paraId="58B7AD00" w14:textId="77777777" w:rsidR="004C2308" w:rsidRDefault="00A727CB">
      <w:pPr>
        <w:pStyle w:val="NoSpacing"/>
        <w:numPr>
          <w:ilvl w:val="0"/>
          <w:numId w:val="17"/>
        </w:numPr>
      </w:pPr>
      <w:r>
        <w:t>Making staff aware of pupil’s condition, where appropriate</w:t>
      </w:r>
    </w:p>
    <w:p w14:paraId="1974C3A0" w14:textId="77777777" w:rsidR="004C2308" w:rsidRDefault="00A727CB">
      <w:pPr>
        <w:pStyle w:val="NoSpacing"/>
        <w:numPr>
          <w:ilvl w:val="0"/>
          <w:numId w:val="17"/>
        </w:numPr>
      </w:pPr>
      <w:r>
        <w:t xml:space="preserve">Making sure there are cover arrangements to ensure someone is always available to support pupils with medical conditions </w:t>
      </w:r>
    </w:p>
    <w:p w14:paraId="2F8196CF" w14:textId="77777777" w:rsidR="004C2308" w:rsidRDefault="00A727CB">
      <w:pPr>
        <w:pStyle w:val="NoSpacing"/>
        <w:numPr>
          <w:ilvl w:val="0"/>
          <w:numId w:val="17"/>
        </w:numPr>
      </w:pPr>
      <w:r>
        <w:t>Providing supply teachers with appropriate information about the policy and relevant pupils</w:t>
      </w:r>
    </w:p>
    <w:p w14:paraId="19835A32" w14:textId="77777777" w:rsidR="004C2308" w:rsidRDefault="00A727CB">
      <w:pPr>
        <w:pStyle w:val="NoSpacing"/>
        <w:numPr>
          <w:ilvl w:val="0"/>
          <w:numId w:val="17"/>
        </w:numPr>
      </w:pPr>
      <w:r>
        <w:t>Developing and monitoring individual healthcare plans (IHPs)</w:t>
      </w:r>
    </w:p>
    <w:p w14:paraId="5F27DF38" w14:textId="77777777" w:rsidR="004C2308" w:rsidRDefault="004C2308">
      <w:pPr>
        <w:pStyle w:val="NoSpacing"/>
        <w:ind w:left="720"/>
      </w:pPr>
    </w:p>
    <w:p w14:paraId="17AB43E2" w14:textId="77777777" w:rsidR="004C2308" w:rsidRDefault="00A727CB">
      <w:pPr>
        <w:pStyle w:val="NoSpacing"/>
        <w:ind w:left="720"/>
      </w:pPr>
      <w:r>
        <w:t>This policy meets the school’s statutory requirements under section 100 of the Children and Families Act 2014</w:t>
      </w:r>
      <w:r>
        <w:rPr>
          <w:vertAlign w:val="superscript"/>
        </w:rPr>
        <w:footnoteReference w:id="2"/>
      </w:r>
      <w:r>
        <w:rPr>
          <w:rStyle w:val="None"/>
        </w:rPr>
        <w:t xml:space="preserve"> which places a duty on governing bodies of maintained schools, proprietors of academies and management committees of PRUs to make arrangements for supporting pupils at their school with medical conditions.</w:t>
      </w:r>
    </w:p>
    <w:p w14:paraId="2057F518" w14:textId="77777777" w:rsidR="004C2308" w:rsidRDefault="004C2308">
      <w:pPr>
        <w:pStyle w:val="NoSpacing"/>
        <w:ind w:left="720"/>
      </w:pPr>
    </w:p>
    <w:p w14:paraId="696251D6" w14:textId="77777777" w:rsidR="004C2308" w:rsidRDefault="00A727CB">
      <w:pPr>
        <w:pStyle w:val="NoSpacing"/>
        <w:ind w:left="720"/>
      </w:pPr>
      <w:r>
        <w:rPr>
          <w:rStyle w:val="None"/>
        </w:rPr>
        <w:t>This Policy pays due regard to the Department for Education’s statutory guidance Supporting Pupils at School Medical Conditions</w:t>
      </w:r>
      <w:r>
        <w:rPr>
          <w:rStyle w:val="None"/>
          <w:vertAlign w:val="superscript"/>
        </w:rPr>
        <w:footnoteReference w:id="3"/>
      </w:r>
      <w:r>
        <w:rPr>
          <w:rStyle w:val="None"/>
        </w:rPr>
        <w:t>.</w:t>
      </w:r>
    </w:p>
    <w:p w14:paraId="7BEA80D0" w14:textId="77777777" w:rsidR="004C2308" w:rsidRDefault="004C2308">
      <w:pPr>
        <w:pStyle w:val="NoSpacing"/>
        <w:rPr>
          <w:rStyle w:val="None"/>
        </w:rPr>
      </w:pPr>
    </w:p>
    <w:p w14:paraId="6E5CB85A" w14:textId="77777777" w:rsidR="004C2308" w:rsidRDefault="004C2308">
      <w:pPr>
        <w:pStyle w:val="NoSpacing"/>
        <w:rPr>
          <w:rStyle w:val="None"/>
        </w:rPr>
      </w:pPr>
    </w:p>
    <w:p w14:paraId="76193A38" w14:textId="77777777" w:rsidR="004C2308" w:rsidRDefault="00A727CB">
      <w:pPr>
        <w:pStyle w:val="Heading"/>
        <w:numPr>
          <w:ilvl w:val="0"/>
          <w:numId w:val="18"/>
        </w:numPr>
      </w:pPr>
      <w:bookmarkStart w:id="1" w:name="_Toc1"/>
      <w:r>
        <w:rPr>
          <w:rStyle w:val="None"/>
          <w:lang w:val="en-US"/>
        </w:rPr>
        <w:t>Roles &amp; Responsibilities</w:t>
      </w:r>
      <w:bookmarkEnd w:id="1"/>
    </w:p>
    <w:p w14:paraId="40DB7B57" w14:textId="77777777" w:rsidR="004C2308" w:rsidRDefault="00A727CB">
      <w:pPr>
        <w:pStyle w:val="Heading2"/>
        <w:ind w:left="720"/>
      </w:pPr>
      <w:bookmarkStart w:id="2" w:name="_Toc2"/>
      <w:r>
        <w:rPr>
          <w:rStyle w:val="None"/>
          <w:lang w:val="en-US"/>
        </w:rPr>
        <w:t xml:space="preserve">2.1 The governing Board </w:t>
      </w:r>
      <w:bookmarkEnd w:id="2"/>
    </w:p>
    <w:p w14:paraId="3F17A254" w14:textId="77777777" w:rsidR="004C2308" w:rsidRDefault="00A727CB">
      <w:pPr>
        <w:pStyle w:val="NoSpacing"/>
        <w:ind w:left="720"/>
      </w:pPr>
      <w:r>
        <w:rPr>
          <w:rStyle w:val="None"/>
        </w:rPr>
        <w:t>The Governing Board must make arrangements to support pupils with medical conditions in school, including making sure that a policy for supporting pupils with medical conditions in school is developed and implemented. They should ensure that sufficient staff have received suitable training and are competent before they take on responsibility to support children with medical conditions.</w:t>
      </w:r>
    </w:p>
    <w:p w14:paraId="08BB55AC" w14:textId="77777777" w:rsidR="004C2308" w:rsidRDefault="004C2308">
      <w:pPr>
        <w:pStyle w:val="NoSpacing"/>
        <w:ind w:left="720"/>
        <w:rPr>
          <w:rStyle w:val="None"/>
        </w:rPr>
      </w:pPr>
    </w:p>
    <w:p w14:paraId="15D26335" w14:textId="77777777" w:rsidR="004C2308" w:rsidRDefault="00A727CB">
      <w:pPr>
        <w:pStyle w:val="Heading2"/>
        <w:ind w:left="720"/>
      </w:pPr>
      <w:bookmarkStart w:id="3" w:name="_Toc3"/>
      <w:r>
        <w:rPr>
          <w:rStyle w:val="None"/>
          <w:lang w:val="en-US"/>
        </w:rPr>
        <w:t>2.2 The Headteacher</w:t>
      </w:r>
      <w:bookmarkEnd w:id="3"/>
    </w:p>
    <w:p w14:paraId="433492D0" w14:textId="77777777" w:rsidR="004C2308" w:rsidRDefault="00A727CB">
      <w:pPr>
        <w:pStyle w:val="NoSpacing"/>
        <w:ind w:left="720"/>
      </w:pPr>
      <w:r>
        <w:rPr>
          <w:rStyle w:val="None"/>
        </w:rPr>
        <w:t>The Headteacher will ensure that their school’s policy is developed and effectively implemented with partners. This includes ensuring that all staff are aware of the policy for supporting pupils with medical conditions and understand their role in its implementation. The Headteacher will ensure that all staff who need to know are aware of the child’s condition, ensure that sufficient trained numbers of staff are available to implement the policy and deliver against all individual healthcare plans, including in contingency and emergency situations. This may involve recruiting a member of staff for this purpose.</w:t>
      </w:r>
    </w:p>
    <w:p w14:paraId="52F115FF" w14:textId="77777777" w:rsidR="004C2308" w:rsidRDefault="00A727CB">
      <w:pPr>
        <w:pStyle w:val="NoSpacing"/>
        <w:ind w:left="720"/>
      </w:pPr>
      <w:r>
        <w:rPr>
          <w:rStyle w:val="None"/>
        </w:rPr>
        <w:t>The Headteacher has overall responsibility for the development of individual healthcare plans, will make sure that school staff are appropriately insured and are aware that they are insured to support pupils in this way. The Headteacher will ensure that contact is made with the school nursing service in the case of any child who has a medical condition that may require support at school, but who has not yet been brought to the attention of the school nurse.</w:t>
      </w:r>
    </w:p>
    <w:p w14:paraId="05E5A8B7" w14:textId="77777777" w:rsidR="004C2308" w:rsidRDefault="004C2308">
      <w:pPr>
        <w:pStyle w:val="NoSpacing"/>
        <w:ind w:left="720"/>
      </w:pPr>
    </w:p>
    <w:p w14:paraId="5686161F" w14:textId="77777777" w:rsidR="004C2308" w:rsidRDefault="00A727CB">
      <w:pPr>
        <w:pStyle w:val="Heading2"/>
        <w:ind w:left="720"/>
      </w:pPr>
      <w:bookmarkStart w:id="4" w:name="_Toc4"/>
      <w:r>
        <w:rPr>
          <w:rStyle w:val="None"/>
          <w:lang w:val="en-US"/>
        </w:rPr>
        <w:lastRenderedPageBreak/>
        <w:t>2.3 Parents</w:t>
      </w:r>
      <w:bookmarkEnd w:id="4"/>
    </w:p>
    <w:p w14:paraId="710B9274" w14:textId="77777777" w:rsidR="004C2308" w:rsidRDefault="00A727CB">
      <w:pPr>
        <w:pStyle w:val="NoSpacing"/>
        <w:ind w:left="720"/>
      </w:pPr>
      <w:r>
        <w:rPr>
          <w:rStyle w:val="None"/>
        </w:rPr>
        <w:t>Parents will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 or another nominated adult are contactable at all times.</w:t>
      </w:r>
    </w:p>
    <w:p w14:paraId="63FE5B42" w14:textId="77777777" w:rsidR="004C2308" w:rsidRDefault="004C2308">
      <w:pPr>
        <w:pStyle w:val="NoSpacing"/>
        <w:ind w:left="720"/>
      </w:pPr>
    </w:p>
    <w:p w14:paraId="2FFFDB34" w14:textId="77777777" w:rsidR="004C2308" w:rsidRDefault="00A727CB">
      <w:pPr>
        <w:pStyle w:val="Heading2"/>
        <w:ind w:left="720"/>
      </w:pPr>
      <w:bookmarkStart w:id="5" w:name="_Toc5"/>
      <w:r>
        <w:rPr>
          <w:rStyle w:val="None"/>
        </w:rPr>
        <w:t>2.4 Pupils</w:t>
      </w:r>
      <w:bookmarkEnd w:id="5"/>
    </w:p>
    <w:p w14:paraId="058926C5" w14:textId="77777777" w:rsidR="004C2308" w:rsidRDefault="00A727CB">
      <w:pPr>
        <w:pStyle w:val="NoSpacing"/>
        <w:ind w:left="720"/>
      </w:pPr>
      <w:r>
        <w:rPr>
          <w:rStyle w:val="None"/>
        </w:rPr>
        <w:t>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w:t>
      </w:r>
    </w:p>
    <w:p w14:paraId="79A114FA" w14:textId="77777777" w:rsidR="004C2308" w:rsidRDefault="004C2308">
      <w:pPr>
        <w:pStyle w:val="NoSpacing"/>
        <w:ind w:left="720"/>
      </w:pPr>
    </w:p>
    <w:p w14:paraId="33AEAA9D" w14:textId="77777777" w:rsidR="004C2308" w:rsidRDefault="00A727CB">
      <w:pPr>
        <w:pStyle w:val="Heading2"/>
        <w:ind w:left="720"/>
      </w:pPr>
      <w:bookmarkStart w:id="6" w:name="_Toc6"/>
      <w:r>
        <w:rPr>
          <w:rStyle w:val="None"/>
          <w:lang w:val="en-US"/>
        </w:rPr>
        <w:t>2.5 School Staff</w:t>
      </w:r>
      <w:bookmarkEnd w:id="6"/>
    </w:p>
    <w:p w14:paraId="4ED4232C" w14:textId="77777777" w:rsidR="004C2308" w:rsidRDefault="00A727CB">
      <w:pPr>
        <w:pStyle w:val="NoSpacing"/>
        <w:ind w:left="720"/>
      </w:pPr>
      <w:r>
        <w:rPr>
          <w:rStyle w:val="None"/>
        </w:rPr>
        <w:t>Any member of school staff may be asked to provide support to pupils with medical conditions, including the administering of medicines, although they cannot be required to do so. Although administering medicines is not part of teachers’ professional duties, they should take into account the needs of pupils with medical conditions that they teach. School staff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w:t>
      </w:r>
    </w:p>
    <w:p w14:paraId="3B563C88" w14:textId="77777777" w:rsidR="004C2308" w:rsidRDefault="00A727CB">
      <w:pPr>
        <w:pStyle w:val="NoSpacing"/>
        <w:ind w:left="720"/>
      </w:pPr>
      <w:r>
        <w:rPr>
          <w:rStyle w:val="None"/>
        </w:rPr>
        <w:t>Staff must not give prescription medicines or undertake healthcare procedures without appropriate training (updated to reflect requirements within individual healthcare plans).</w:t>
      </w:r>
    </w:p>
    <w:p w14:paraId="765CF64F" w14:textId="77777777" w:rsidR="004C2308" w:rsidRDefault="004C2308">
      <w:pPr>
        <w:pStyle w:val="NoSpacing"/>
        <w:ind w:left="720"/>
      </w:pPr>
    </w:p>
    <w:p w14:paraId="67622AC9" w14:textId="77777777" w:rsidR="004C2308" w:rsidRDefault="004C2308">
      <w:pPr>
        <w:pStyle w:val="Heading2"/>
      </w:pPr>
    </w:p>
    <w:p w14:paraId="3C10450D" w14:textId="77777777" w:rsidR="004C2308" w:rsidRDefault="00A727CB">
      <w:pPr>
        <w:pStyle w:val="NoSpacing"/>
        <w:ind w:left="720"/>
      </w:pPr>
      <w:r>
        <w:rPr>
          <w:rStyle w:val="None"/>
        </w:rPr>
        <w:t>.</w:t>
      </w:r>
    </w:p>
    <w:p w14:paraId="5735CA01" w14:textId="77777777" w:rsidR="004C2308" w:rsidRDefault="00A727CB">
      <w:pPr>
        <w:pStyle w:val="Heading2"/>
      </w:pPr>
      <w:bookmarkStart w:id="7" w:name="_Toc7"/>
      <w:r>
        <w:rPr>
          <w:rStyle w:val="None"/>
          <w:rFonts w:eastAsia="Arial Unicode MS" w:cs="Arial Unicode MS"/>
          <w:lang w:val="en-US"/>
        </w:rPr>
        <w:t xml:space="preserve">          2.6 Other Healthcare Professionals</w:t>
      </w:r>
      <w:bookmarkEnd w:id="7"/>
    </w:p>
    <w:p w14:paraId="459370BD" w14:textId="77777777" w:rsidR="004C2308" w:rsidRDefault="00A727CB">
      <w:pPr>
        <w:pStyle w:val="NoSpacing"/>
        <w:ind w:left="720"/>
      </w:pPr>
      <w:r>
        <w:rPr>
          <w:rStyle w:val="None"/>
        </w:rPr>
        <w:t>Other healthcare professionals, including GPs and paediatricians, should notify the school nurse when a child has been identified as having a medical condition that will require support at school. They may provide advice on developing individual healthcare plans. Specialist local health teams may be able to provide support in schools for children with particular conditions (e.g. asthma, diabetes, epilepsy).</w:t>
      </w:r>
    </w:p>
    <w:p w14:paraId="4458DD79" w14:textId="77777777" w:rsidR="004C2308" w:rsidRDefault="004C2308">
      <w:pPr>
        <w:pStyle w:val="NoSpacing"/>
        <w:ind w:left="720"/>
      </w:pPr>
    </w:p>
    <w:p w14:paraId="20354A7E" w14:textId="77777777" w:rsidR="004C2308" w:rsidRDefault="00A727CB">
      <w:pPr>
        <w:pStyle w:val="Heading"/>
        <w:numPr>
          <w:ilvl w:val="0"/>
          <w:numId w:val="13"/>
        </w:numPr>
      </w:pPr>
      <w:bookmarkStart w:id="8" w:name="_Toc8"/>
      <w:r>
        <w:rPr>
          <w:rStyle w:val="None"/>
          <w:lang w:val="en-US"/>
        </w:rPr>
        <w:t>Staff Training &amp; Support</w:t>
      </w:r>
      <w:bookmarkEnd w:id="8"/>
    </w:p>
    <w:p w14:paraId="37778DF4" w14:textId="77777777" w:rsidR="004C2308" w:rsidRDefault="00A727CB">
      <w:pPr>
        <w:pStyle w:val="NoSpacing"/>
        <w:ind w:left="720"/>
      </w:pPr>
      <w:r>
        <w:rPr>
          <w:rStyle w:val="None"/>
        </w:rPr>
        <w:t>Any member of school staff providing support to a pupil with medical needs should have received suitable training.</w:t>
      </w:r>
    </w:p>
    <w:p w14:paraId="008D9CBE" w14:textId="77777777" w:rsidR="004C2308" w:rsidRDefault="00A727CB">
      <w:pPr>
        <w:pStyle w:val="NoSpacing"/>
        <w:ind w:left="720"/>
      </w:pPr>
      <w:r>
        <w:rPr>
          <w:rStyle w:val="None"/>
        </w:rPr>
        <w:t>Governing bodies 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w:t>
      </w:r>
    </w:p>
    <w:p w14:paraId="53C2C2FE" w14:textId="77777777" w:rsidR="004C2308" w:rsidRDefault="00A727CB">
      <w:pPr>
        <w:pStyle w:val="NoSpacing"/>
        <w:ind w:left="720"/>
      </w:pPr>
      <w:r>
        <w:rPr>
          <w:rStyle w:val="None"/>
        </w:rPr>
        <w:t>This should include references to staff training on:</w:t>
      </w:r>
    </w:p>
    <w:p w14:paraId="71BF7D49" w14:textId="77777777" w:rsidR="004C2308" w:rsidRDefault="00A727CB">
      <w:pPr>
        <w:pStyle w:val="NoSpacing"/>
        <w:numPr>
          <w:ilvl w:val="0"/>
          <w:numId w:val="20"/>
        </w:numPr>
      </w:pPr>
      <w:r>
        <w:rPr>
          <w:rStyle w:val="None"/>
        </w:rPr>
        <w:t>the development or review of individual healthcare plans [IHPs];</w:t>
      </w:r>
    </w:p>
    <w:p w14:paraId="5A365E37" w14:textId="77777777" w:rsidR="004C2308" w:rsidRDefault="00A727CB">
      <w:pPr>
        <w:pStyle w:val="NoSpacing"/>
        <w:numPr>
          <w:ilvl w:val="0"/>
          <w:numId w:val="20"/>
        </w:numPr>
      </w:pPr>
      <w:r>
        <w:rPr>
          <w:rStyle w:val="None"/>
        </w:rPr>
        <w:t>an understanding of the specific medical conditions they are being asked to deal with, their implications and preventative measures;</w:t>
      </w:r>
    </w:p>
    <w:p w14:paraId="72C95831" w14:textId="77777777" w:rsidR="004C2308" w:rsidRDefault="00A727CB">
      <w:pPr>
        <w:pStyle w:val="NoSpacing"/>
        <w:numPr>
          <w:ilvl w:val="0"/>
          <w:numId w:val="20"/>
        </w:numPr>
      </w:pPr>
      <w:r>
        <w:rPr>
          <w:rStyle w:val="None"/>
        </w:rPr>
        <w:t>whole-school awareness training so that all staff are aware of the school’s policy for supporting pupils with medical conditions and their role in implementing that policy;</w:t>
      </w:r>
    </w:p>
    <w:p w14:paraId="31494570" w14:textId="77777777" w:rsidR="004C2308" w:rsidRDefault="00A727CB">
      <w:pPr>
        <w:pStyle w:val="NoSpacing"/>
        <w:numPr>
          <w:ilvl w:val="0"/>
          <w:numId w:val="20"/>
        </w:numPr>
      </w:pPr>
      <w:r>
        <w:rPr>
          <w:rStyle w:val="None"/>
        </w:rPr>
        <w:lastRenderedPageBreak/>
        <w:t>relevant healthcare professional should be able to advise on training that will help ensure that all medical conditions affecting pupils in the school are understood fully. This includes preventative and emergency measures so that staff can recognise and act quickly when a problem occurs.</w:t>
      </w:r>
    </w:p>
    <w:p w14:paraId="62F9BA6B" w14:textId="77777777" w:rsidR="004C2308" w:rsidRDefault="004C2308">
      <w:pPr>
        <w:pStyle w:val="NoSpacing"/>
        <w:ind w:left="360"/>
        <w:rPr>
          <w:rStyle w:val="None"/>
        </w:rPr>
      </w:pPr>
    </w:p>
    <w:p w14:paraId="217187D2" w14:textId="77777777" w:rsidR="004C2308" w:rsidRDefault="004C2308">
      <w:pPr>
        <w:pStyle w:val="NoSpacing"/>
        <w:ind w:left="360"/>
        <w:rPr>
          <w:rStyle w:val="None"/>
        </w:rPr>
      </w:pPr>
    </w:p>
    <w:p w14:paraId="1B743AD0" w14:textId="77777777" w:rsidR="004C2308" w:rsidRDefault="00A727CB">
      <w:pPr>
        <w:pStyle w:val="Heading"/>
        <w:numPr>
          <w:ilvl w:val="0"/>
          <w:numId w:val="21"/>
        </w:numPr>
      </w:pPr>
      <w:bookmarkStart w:id="9" w:name="_Toc9"/>
      <w:r>
        <w:rPr>
          <w:rStyle w:val="None"/>
          <w:lang w:val="en-US"/>
        </w:rPr>
        <w:t>Managing Medicine on School Premises</w:t>
      </w:r>
      <w:bookmarkEnd w:id="9"/>
    </w:p>
    <w:p w14:paraId="550107E4" w14:textId="77777777" w:rsidR="004C2308" w:rsidRDefault="00A727CB">
      <w:pPr>
        <w:pStyle w:val="NoSpacing"/>
        <w:ind w:left="720"/>
      </w:pPr>
      <w:r>
        <w:rPr>
          <w:rStyle w:val="None"/>
        </w:rPr>
        <w:t>Medicines will only be administered at school when it would be detrimental to a child’s health or school attendance not to do so.</w:t>
      </w:r>
    </w:p>
    <w:p w14:paraId="239896DD" w14:textId="77777777" w:rsidR="004C2308" w:rsidRDefault="00A727CB">
      <w:pPr>
        <w:pStyle w:val="NoSpacing"/>
        <w:numPr>
          <w:ilvl w:val="0"/>
          <w:numId w:val="23"/>
        </w:numPr>
      </w:pPr>
      <w:r>
        <w:rPr>
          <w:rStyle w:val="None"/>
        </w:rPr>
        <w:t>no child under 16 will be given prescription or non-prescription medicines without their parent’s written consent – except in exceptional circumstances where the medicine has been prescribed to the child without the knowledge of the parents. In such cases, every effort will be made to encourage the child or young person to involve their parents while respecting their right to confidentiality;</w:t>
      </w:r>
    </w:p>
    <w:p w14:paraId="2FE05861" w14:textId="77777777" w:rsidR="004C2308" w:rsidRDefault="00A727CB">
      <w:pPr>
        <w:pStyle w:val="NoSpacing"/>
        <w:numPr>
          <w:ilvl w:val="0"/>
          <w:numId w:val="23"/>
        </w:numPr>
      </w:pPr>
      <w:r>
        <w:rPr>
          <w:rStyle w:val="None"/>
        </w:rPr>
        <w:t>the school has clear arrangements in which non-prescription medicines may be administered;</w:t>
      </w:r>
    </w:p>
    <w:p w14:paraId="4CAB4EA4" w14:textId="77777777" w:rsidR="004C2308" w:rsidRDefault="00A727CB">
      <w:pPr>
        <w:pStyle w:val="NoSpacing"/>
        <w:numPr>
          <w:ilvl w:val="0"/>
          <w:numId w:val="23"/>
        </w:numPr>
      </w:pPr>
      <w:r>
        <w:rPr>
          <w:rStyle w:val="None"/>
        </w:rPr>
        <w:t>children under 16 will never be given medicine containing aspirin unless prescribed by a doctor;</w:t>
      </w:r>
    </w:p>
    <w:p w14:paraId="62F4B567" w14:textId="77777777" w:rsidR="004C2308" w:rsidRDefault="00A727CB">
      <w:pPr>
        <w:pStyle w:val="NoSpacing"/>
        <w:numPr>
          <w:ilvl w:val="0"/>
          <w:numId w:val="23"/>
        </w:numPr>
      </w:pPr>
      <w:r>
        <w:rPr>
          <w:rStyle w:val="None"/>
        </w:rPr>
        <w:t>medication, e.g. for pain relief, will not be administered without first checking maximum dosages and when the previous dose was taken or without first informing parents</w:t>
      </w:r>
    </w:p>
    <w:p w14:paraId="60E029BA" w14:textId="77777777" w:rsidR="004C2308" w:rsidRDefault="00A727CB">
      <w:pPr>
        <w:pStyle w:val="NoSpacing"/>
        <w:numPr>
          <w:ilvl w:val="0"/>
          <w:numId w:val="23"/>
        </w:numPr>
      </w:pPr>
      <w:r>
        <w:rPr>
          <w:rStyle w:val="None"/>
        </w:rPr>
        <w:t>where clinically possible, the school will seek to ensure that parents request that medicines are prescribed in dose frequencies which enable them to be taken outside school hours;</w:t>
      </w:r>
    </w:p>
    <w:p w14:paraId="12ADA156" w14:textId="77777777" w:rsidR="004C2308" w:rsidRDefault="00A727CB">
      <w:pPr>
        <w:pStyle w:val="NoSpacing"/>
        <w:numPr>
          <w:ilvl w:val="0"/>
          <w:numId w:val="23"/>
        </w:numPr>
      </w:pPr>
      <w:r>
        <w:rPr>
          <w:rStyle w:val="None"/>
        </w:rPr>
        <w:t>schools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w:t>
      </w:r>
    </w:p>
    <w:p w14:paraId="2A130EC6" w14:textId="77777777" w:rsidR="004C2308" w:rsidRDefault="00A727CB">
      <w:pPr>
        <w:pStyle w:val="NoSpacing"/>
        <w:numPr>
          <w:ilvl w:val="0"/>
          <w:numId w:val="23"/>
        </w:numPr>
      </w:pPr>
      <w:r>
        <w:rPr>
          <w:rStyle w:val="None"/>
        </w:rPr>
        <w:t>all medicines should be stored safely. Children will know where their medicines are at all times and be able to access them immediately. Where relevant, they will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w:t>
      </w:r>
    </w:p>
    <w:p w14:paraId="382A940D" w14:textId="77777777" w:rsidR="004C2308" w:rsidRDefault="00A727CB">
      <w:pPr>
        <w:pStyle w:val="NoSpacing"/>
        <w:numPr>
          <w:ilvl w:val="0"/>
          <w:numId w:val="23"/>
        </w:numPr>
      </w:pPr>
      <w:r>
        <w:rPr>
          <w:rStyle w:val="None"/>
        </w:rPr>
        <w:t>when no longer required, medicines should be returned to the parent to arrange for safe disposal. Sharps boxes should always be used for the disposal of needles and other sharps;</w:t>
      </w:r>
    </w:p>
    <w:p w14:paraId="547E938F" w14:textId="77777777" w:rsidR="004C2308" w:rsidRDefault="00A727CB">
      <w:pPr>
        <w:pStyle w:val="NoSpacing"/>
        <w:numPr>
          <w:ilvl w:val="0"/>
          <w:numId w:val="23"/>
        </w:numPr>
      </w:pPr>
      <w:r>
        <w:rPr>
          <w:rStyle w:val="None"/>
        </w:rPr>
        <w:t>a child who has been prescribed a controlled drug may legally have it in their possession if they are competent to do so, 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A record should be kept of any doses used and the amount of the controlled drug held;</w:t>
      </w:r>
    </w:p>
    <w:p w14:paraId="16EFB0D0" w14:textId="77777777" w:rsidR="004C2308" w:rsidRDefault="00A727CB">
      <w:pPr>
        <w:pStyle w:val="NoSpacing"/>
        <w:numPr>
          <w:ilvl w:val="0"/>
          <w:numId w:val="23"/>
        </w:numPr>
      </w:pPr>
      <w:r>
        <w:rPr>
          <w:rStyle w:val="None"/>
        </w:rPr>
        <w:t>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 in school.</w:t>
      </w:r>
    </w:p>
    <w:p w14:paraId="045EE991" w14:textId="77777777" w:rsidR="004C2308" w:rsidRDefault="004C2308">
      <w:pPr>
        <w:pStyle w:val="NoSpacing"/>
        <w:rPr>
          <w:rStyle w:val="None"/>
        </w:rPr>
      </w:pPr>
    </w:p>
    <w:p w14:paraId="48331686" w14:textId="77777777" w:rsidR="004C2308" w:rsidRDefault="00A727CB">
      <w:pPr>
        <w:pStyle w:val="Heading2"/>
        <w:ind w:left="720"/>
      </w:pPr>
      <w:bookmarkStart w:id="10" w:name="_Toc10"/>
      <w:r>
        <w:rPr>
          <w:rStyle w:val="None"/>
          <w:lang w:val="en-US"/>
        </w:rPr>
        <w:lastRenderedPageBreak/>
        <w:t>4.1 Controlled Drugs</w:t>
      </w:r>
      <w:bookmarkEnd w:id="10"/>
    </w:p>
    <w:p w14:paraId="6AF3EB05" w14:textId="77777777" w:rsidR="004C2308" w:rsidRDefault="00A727CB">
      <w:pPr>
        <w:pStyle w:val="NoSpacing"/>
        <w:ind w:left="720"/>
        <w:rPr>
          <w:rStyle w:val="None"/>
        </w:rPr>
      </w:pPr>
      <w:r>
        <w:rPr>
          <w:rStyle w:val="None"/>
        </w:rPr>
        <w:t>Controlled drugs are prescription medicines that are controlled under the Misuse of Drugs Regulations 2001</w:t>
      </w:r>
      <w:r>
        <w:rPr>
          <w:rStyle w:val="None"/>
          <w:vertAlign w:val="superscript"/>
        </w:rPr>
        <w:footnoteReference w:id="4"/>
      </w:r>
      <w:r>
        <w:rPr>
          <w:rStyle w:val="None"/>
        </w:rPr>
        <w:t xml:space="preserve"> and subsequent amendments, such as morphine or methadone. </w:t>
      </w:r>
    </w:p>
    <w:p w14:paraId="2A8BFE94" w14:textId="77777777" w:rsidR="004C2308" w:rsidRDefault="00A727CB">
      <w:pPr>
        <w:pStyle w:val="NoSpacing"/>
        <w:ind w:left="720"/>
        <w:rPr>
          <w:rStyle w:val="None"/>
        </w:rPr>
      </w:pPr>
      <w:r>
        <w:rPr>
          <w:rStyle w:val="None"/>
        </w:rPr>
        <w:t>A pupil who has been prescribed a controlled drug may have it in their possession if they are competent to do so, but they must not pass it to another pupil to use. All other controlled drugs are kept in a secure cupboard in the staffroom and only staff will have access.</w:t>
      </w:r>
    </w:p>
    <w:p w14:paraId="57B22CA3" w14:textId="77777777" w:rsidR="004C2308" w:rsidRDefault="00A727CB">
      <w:pPr>
        <w:pStyle w:val="NoSpacing"/>
        <w:ind w:left="720"/>
        <w:rPr>
          <w:rStyle w:val="None"/>
        </w:rPr>
      </w:pPr>
      <w:r>
        <w:rPr>
          <w:rStyle w:val="None"/>
        </w:rPr>
        <w:t>Controlled drugs will be easily accessible in an emergency and a record of any doses used and the amount held will be kept.</w:t>
      </w:r>
    </w:p>
    <w:p w14:paraId="69673DE2" w14:textId="77777777" w:rsidR="004C2308" w:rsidRDefault="004C2308">
      <w:pPr>
        <w:pStyle w:val="NoSpacing"/>
        <w:rPr>
          <w:rStyle w:val="None"/>
        </w:rPr>
      </w:pPr>
    </w:p>
    <w:p w14:paraId="38BDEAAF" w14:textId="77777777" w:rsidR="004C2308" w:rsidRDefault="004C2308">
      <w:pPr>
        <w:pStyle w:val="NoSpacing"/>
        <w:rPr>
          <w:rStyle w:val="None"/>
        </w:rPr>
      </w:pPr>
    </w:p>
    <w:p w14:paraId="68E0FE68" w14:textId="77777777" w:rsidR="004C2308" w:rsidRDefault="00A727CB">
      <w:pPr>
        <w:pStyle w:val="Heading"/>
        <w:numPr>
          <w:ilvl w:val="0"/>
          <w:numId w:val="24"/>
        </w:numPr>
      </w:pPr>
      <w:bookmarkStart w:id="11" w:name="_Toc11"/>
      <w:r>
        <w:rPr>
          <w:rStyle w:val="None"/>
          <w:lang w:val="en-US"/>
        </w:rPr>
        <w:t>Record Keeping</w:t>
      </w:r>
      <w:bookmarkEnd w:id="11"/>
    </w:p>
    <w:p w14:paraId="1A8CDCE3" w14:textId="77777777" w:rsidR="004C2308" w:rsidRDefault="00A727CB">
      <w:pPr>
        <w:pStyle w:val="NoSpacing"/>
        <w:ind w:left="720"/>
      </w:pPr>
      <w:r>
        <w:rPr>
          <w:rStyle w:val="None"/>
        </w:rPr>
        <w:t>Governing bodies will ensure that written records are kept of all medicines administered to children.</w:t>
      </w:r>
    </w:p>
    <w:p w14:paraId="2902A2AB" w14:textId="77777777" w:rsidR="004C2308" w:rsidRDefault="004C2308">
      <w:pPr>
        <w:pStyle w:val="NoSpacing"/>
      </w:pPr>
    </w:p>
    <w:p w14:paraId="6527486B" w14:textId="77777777" w:rsidR="004C2308" w:rsidRDefault="004C2308">
      <w:pPr>
        <w:pStyle w:val="NoSpacing"/>
      </w:pPr>
    </w:p>
    <w:p w14:paraId="2F1229F5" w14:textId="77777777" w:rsidR="004C2308" w:rsidRDefault="00A727CB">
      <w:pPr>
        <w:pStyle w:val="Heading"/>
        <w:numPr>
          <w:ilvl w:val="0"/>
          <w:numId w:val="13"/>
        </w:numPr>
      </w:pPr>
      <w:bookmarkStart w:id="12" w:name="_Toc12"/>
      <w:r>
        <w:rPr>
          <w:rStyle w:val="None"/>
          <w:lang w:val="en-US"/>
        </w:rPr>
        <w:t>Individual Healthcare Plans</w:t>
      </w:r>
      <w:bookmarkEnd w:id="12"/>
    </w:p>
    <w:p w14:paraId="66E063DC" w14:textId="77777777" w:rsidR="004C2308" w:rsidRDefault="00A727CB">
      <w:pPr>
        <w:pStyle w:val="NoSpacing"/>
        <w:ind w:left="720"/>
        <w:rPr>
          <w:rStyle w:val="None"/>
        </w:rPr>
      </w:pPr>
      <w:r>
        <w:rPr>
          <w:rStyle w:val="None"/>
        </w:rPr>
        <w:t>The headteacher has overall responsibility for the development of IHPs for pupils with medical conditions. This has been delegated to name of individual/role.</w:t>
      </w:r>
    </w:p>
    <w:p w14:paraId="4963D02E" w14:textId="77777777" w:rsidR="004C2308" w:rsidRDefault="00A727CB">
      <w:pPr>
        <w:pStyle w:val="NoSpacing"/>
        <w:ind w:left="720"/>
        <w:rPr>
          <w:rStyle w:val="None"/>
        </w:rPr>
      </w:pPr>
      <w:r>
        <w:rPr>
          <w:rStyle w:val="None"/>
        </w:rPr>
        <w:t>Plans will be reviewed at least annually, or earlier if there is evidence that the pupil’s needs have changed.</w:t>
      </w:r>
    </w:p>
    <w:p w14:paraId="153645B6" w14:textId="77777777" w:rsidR="004C2308" w:rsidRDefault="00A727CB">
      <w:pPr>
        <w:pStyle w:val="NoSpacing"/>
        <w:ind w:left="720"/>
        <w:rPr>
          <w:rStyle w:val="None"/>
        </w:rPr>
      </w:pPr>
      <w:r>
        <w:rPr>
          <w:rStyle w:val="None"/>
        </w:rPr>
        <w:t>Plans will be developed with the pupil’s best interests in mind and will set out:</w:t>
      </w:r>
    </w:p>
    <w:p w14:paraId="5E1D1827" w14:textId="77777777" w:rsidR="004C2308" w:rsidRDefault="00A727CB">
      <w:pPr>
        <w:pStyle w:val="NoSpacing"/>
        <w:numPr>
          <w:ilvl w:val="0"/>
          <w:numId w:val="26"/>
        </w:numPr>
      </w:pPr>
      <w:r>
        <w:rPr>
          <w:rStyle w:val="None"/>
        </w:rPr>
        <w:t>What needs to be done</w:t>
      </w:r>
    </w:p>
    <w:p w14:paraId="1D34837C" w14:textId="77777777" w:rsidR="004C2308" w:rsidRDefault="00A727CB">
      <w:pPr>
        <w:pStyle w:val="NoSpacing"/>
        <w:numPr>
          <w:ilvl w:val="0"/>
          <w:numId w:val="26"/>
        </w:numPr>
      </w:pPr>
      <w:r>
        <w:rPr>
          <w:rStyle w:val="None"/>
        </w:rPr>
        <w:t xml:space="preserve">When </w:t>
      </w:r>
    </w:p>
    <w:p w14:paraId="02A4F46F" w14:textId="77777777" w:rsidR="004C2308" w:rsidRDefault="00A727CB">
      <w:pPr>
        <w:pStyle w:val="NoSpacing"/>
        <w:numPr>
          <w:ilvl w:val="0"/>
          <w:numId w:val="26"/>
        </w:numPr>
      </w:pPr>
      <w:r>
        <w:rPr>
          <w:rStyle w:val="None"/>
        </w:rPr>
        <w:t xml:space="preserve">By whom </w:t>
      </w:r>
    </w:p>
    <w:p w14:paraId="0D41E546" w14:textId="77777777" w:rsidR="004C2308" w:rsidRDefault="00A727CB">
      <w:pPr>
        <w:pStyle w:val="NoSpacing"/>
        <w:ind w:left="720"/>
        <w:rPr>
          <w:rStyle w:val="None"/>
        </w:rPr>
      </w:pPr>
      <w:r>
        <w:rPr>
          <w:rStyle w:val="None"/>
        </w:rPr>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w14:paraId="34056295" w14:textId="77777777" w:rsidR="004C2308" w:rsidRDefault="00A727CB">
      <w:pPr>
        <w:pStyle w:val="NoSpacing"/>
        <w:ind w:left="720"/>
        <w:rPr>
          <w:rStyle w:val="None"/>
        </w:rPr>
      </w:pPr>
      <w:r>
        <w:rPr>
          <w:rStyle w:val="None"/>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14:paraId="4DA3C8C8" w14:textId="77777777" w:rsidR="004C2308" w:rsidRDefault="00A727CB">
      <w:pPr>
        <w:pStyle w:val="NoSpacing"/>
        <w:ind w:left="720"/>
        <w:rPr>
          <w:rStyle w:val="None"/>
        </w:rPr>
      </w:pPr>
      <w:r>
        <w:rPr>
          <w:rStyle w:val="None"/>
        </w:rPr>
        <w:t xml:space="preserve">IHPs will be linked to, or become part of, any education, health and care (EHC) plan. If a pupil has SEN but does not have a statement or EHC plan, the SEN will be mentioned in the IHP. </w:t>
      </w:r>
    </w:p>
    <w:p w14:paraId="1F5A895F" w14:textId="77777777" w:rsidR="004C2308" w:rsidRDefault="00A727CB">
      <w:pPr>
        <w:pStyle w:val="NoSpacing"/>
        <w:ind w:left="720"/>
        <w:rPr>
          <w:rStyle w:val="None"/>
        </w:rPr>
      </w:pPr>
      <w:r>
        <w:rPr>
          <w:rStyle w:val="None"/>
        </w:rPr>
        <w:t>The level of detail in the plan will depend on the complexity of the child’s condition and how much support is needed. The governing board and the headteacher/name of individual/role with responsibility for developing IHPs, will consider the following when deciding what information to record on IHPs:</w:t>
      </w:r>
    </w:p>
    <w:p w14:paraId="6F54C219" w14:textId="77777777" w:rsidR="004C2308" w:rsidRDefault="00A727CB">
      <w:pPr>
        <w:pStyle w:val="NoSpacing"/>
        <w:numPr>
          <w:ilvl w:val="0"/>
          <w:numId w:val="28"/>
        </w:numPr>
      </w:pPr>
      <w:r>
        <w:rPr>
          <w:rStyle w:val="None"/>
        </w:rPr>
        <w:t>The medical condition, its triggers, signs, symptoms and treatments</w:t>
      </w:r>
    </w:p>
    <w:p w14:paraId="21A728F4" w14:textId="77777777" w:rsidR="004C2308" w:rsidRDefault="00A727CB">
      <w:pPr>
        <w:pStyle w:val="NoSpacing"/>
        <w:numPr>
          <w:ilvl w:val="0"/>
          <w:numId w:val="28"/>
        </w:numPr>
      </w:pPr>
      <w:r>
        <w:rPr>
          <w:rStyle w:val="None"/>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24DAD376" w14:textId="77777777" w:rsidR="004C2308" w:rsidRDefault="00A727CB">
      <w:pPr>
        <w:pStyle w:val="NoSpacing"/>
        <w:numPr>
          <w:ilvl w:val="0"/>
          <w:numId w:val="28"/>
        </w:numPr>
      </w:pPr>
      <w:r>
        <w:rPr>
          <w:rStyle w:val="None"/>
        </w:rPr>
        <w:t>Specific support for the pupil’s educational, social and emotional needs. For example, how absences will be managed, requirements for extra time to complete exams, use of rest periods or additional support in catching up with lessons, counselling sessions</w:t>
      </w:r>
    </w:p>
    <w:p w14:paraId="79EF1FE5" w14:textId="77777777" w:rsidR="004C2308" w:rsidRDefault="00A727CB">
      <w:pPr>
        <w:pStyle w:val="NoSpacing"/>
        <w:numPr>
          <w:ilvl w:val="0"/>
          <w:numId w:val="28"/>
        </w:numPr>
      </w:pPr>
      <w:r>
        <w:rPr>
          <w:rStyle w:val="None"/>
        </w:rPr>
        <w:t>The level of support needed, including in emergencies. If a pupil is self-managing their medication, this will be clearly stated with appropriate arrangements for monitoring</w:t>
      </w:r>
    </w:p>
    <w:p w14:paraId="65A77FB6" w14:textId="77777777" w:rsidR="004C2308" w:rsidRDefault="00A727CB">
      <w:pPr>
        <w:pStyle w:val="NoSpacing"/>
        <w:numPr>
          <w:ilvl w:val="0"/>
          <w:numId w:val="28"/>
        </w:numPr>
      </w:pPr>
      <w:r>
        <w:rPr>
          <w:rStyle w:val="None"/>
        </w:rPr>
        <w:lastRenderedPageBreak/>
        <w:t>Who will provide this support, their training needs, expectations of their role and confirmation of proficiency to provide support for the pupil’s medical condition from a healthcare professional, and cover arrangements for when they are unavailable</w:t>
      </w:r>
    </w:p>
    <w:p w14:paraId="65DB5C21" w14:textId="77777777" w:rsidR="004C2308" w:rsidRDefault="00A727CB">
      <w:pPr>
        <w:pStyle w:val="NoSpacing"/>
        <w:numPr>
          <w:ilvl w:val="0"/>
          <w:numId w:val="28"/>
        </w:numPr>
      </w:pPr>
      <w:r>
        <w:rPr>
          <w:rStyle w:val="None"/>
        </w:rPr>
        <w:t>Who in the school needs to be aware of the pupil’s condition and the support required</w:t>
      </w:r>
    </w:p>
    <w:p w14:paraId="2B6A5739" w14:textId="77777777" w:rsidR="004C2308" w:rsidRDefault="00A727CB">
      <w:pPr>
        <w:pStyle w:val="NoSpacing"/>
        <w:numPr>
          <w:ilvl w:val="0"/>
          <w:numId w:val="28"/>
        </w:numPr>
      </w:pPr>
      <w:r>
        <w:rPr>
          <w:rStyle w:val="None"/>
        </w:rPr>
        <w:t>Arrangements for written permission from parents and the headteacher for medication to be administered by a member of staff, or self-administered by the pupil during school hours</w:t>
      </w:r>
    </w:p>
    <w:p w14:paraId="29A0FB80" w14:textId="77777777" w:rsidR="004C2308" w:rsidRDefault="00A727CB">
      <w:pPr>
        <w:pStyle w:val="NoSpacing"/>
        <w:numPr>
          <w:ilvl w:val="0"/>
          <w:numId w:val="28"/>
        </w:numPr>
      </w:pPr>
      <w:r>
        <w:rPr>
          <w:rStyle w:val="None"/>
        </w:rPr>
        <w:t>Separate arrangements or procedures required for school trips or other school activities outside of the normal school timetable that will ensure the pupil can participate, e.g. risk assessments</w:t>
      </w:r>
    </w:p>
    <w:p w14:paraId="1FDD3684" w14:textId="77777777" w:rsidR="004C2308" w:rsidRDefault="00A727CB">
      <w:pPr>
        <w:pStyle w:val="NoSpacing"/>
        <w:numPr>
          <w:ilvl w:val="0"/>
          <w:numId w:val="28"/>
        </w:numPr>
      </w:pPr>
      <w:r>
        <w:rPr>
          <w:rStyle w:val="None"/>
        </w:rPr>
        <w:t>Where confidentiality issues are raised by the parent/pupil, the designated individuals to be entrusted with information about the pupil’s condition</w:t>
      </w:r>
    </w:p>
    <w:p w14:paraId="048137B4" w14:textId="77777777" w:rsidR="004C2308" w:rsidRDefault="00A727CB">
      <w:pPr>
        <w:pStyle w:val="NoSpacing"/>
        <w:numPr>
          <w:ilvl w:val="0"/>
          <w:numId w:val="28"/>
        </w:numPr>
      </w:pPr>
      <w:r>
        <w:rPr>
          <w:rStyle w:val="None"/>
        </w:rPr>
        <w:t>What to do in an emergency, including who to contact, and contingency arrangements</w:t>
      </w:r>
    </w:p>
    <w:p w14:paraId="6C42AE62" w14:textId="77777777" w:rsidR="004C2308" w:rsidRDefault="004C2308">
      <w:pPr>
        <w:pStyle w:val="NoSpacing"/>
      </w:pPr>
    </w:p>
    <w:p w14:paraId="5528D611" w14:textId="77777777" w:rsidR="004C2308" w:rsidRDefault="004C2308">
      <w:pPr>
        <w:pStyle w:val="NoSpacing"/>
      </w:pPr>
    </w:p>
    <w:p w14:paraId="1AA93CBE" w14:textId="77777777" w:rsidR="004C2308" w:rsidRDefault="00A727CB">
      <w:pPr>
        <w:pStyle w:val="Heading"/>
        <w:numPr>
          <w:ilvl w:val="0"/>
          <w:numId w:val="29"/>
        </w:numPr>
      </w:pPr>
      <w:bookmarkStart w:id="13" w:name="_Toc13"/>
      <w:r>
        <w:rPr>
          <w:rStyle w:val="None"/>
          <w:lang w:val="en-US"/>
        </w:rPr>
        <w:t>Emergency Procedures</w:t>
      </w:r>
      <w:bookmarkEnd w:id="13"/>
    </w:p>
    <w:p w14:paraId="698C1472" w14:textId="77777777" w:rsidR="004C2308" w:rsidRDefault="00A727CB">
      <w:pPr>
        <w:pStyle w:val="NoSpacing"/>
        <w:ind w:left="720"/>
      </w:pPr>
      <w:r>
        <w:rPr>
          <w:rStyle w:val="None"/>
        </w:rPr>
        <w:t>Governing bodies should ensure that the school’s policy sets out what should happen in an emergency situation.</w:t>
      </w:r>
    </w:p>
    <w:p w14:paraId="3DF947EF" w14:textId="77777777" w:rsidR="004C2308" w:rsidRDefault="00A727CB">
      <w:pPr>
        <w:pStyle w:val="NoSpacing"/>
        <w:ind w:left="720"/>
      </w:pPr>
      <w:r>
        <w:rPr>
          <w:rStyle w:val="None"/>
        </w:rPr>
        <w:t>As part of general risk management processes, all schools should have arrangements in place for dealing with emergencies for all school activities wherever they take place, including on school trips within and outside the UK. Where a child has an individual healthcare plan, this should 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w:t>
      </w:r>
      <w:r>
        <w:rPr>
          <w:rStyle w:val="None"/>
          <w:shd w:val="clear" w:color="auto" w:fill="FFFF00"/>
        </w:rPr>
        <w:t>.</w:t>
      </w:r>
    </w:p>
    <w:p w14:paraId="1F497298" w14:textId="77777777" w:rsidR="004C2308" w:rsidRDefault="004C2308">
      <w:pPr>
        <w:pStyle w:val="NoSpacing"/>
        <w:ind w:left="720"/>
      </w:pPr>
    </w:p>
    <w:p w14:paraId="5FBDF1BB" w14:textId="77777777" w:rsidR="004C2308" w:rsidRDefault="004C2308">
      <w:pPr>
        <w:pStyle w:val="NoSpacing"/>
        <w:ind w:left="720"/>
      </w:pPr>
    </w:p>
    <w:p w14:paraId="14EF7BD6" w14:textId="77777777" w:rsidR="004C2308" w:rsidRDefault="00A727CB">
      <w:pPr>
        <w:pStyle w:val="Heading"/>
        <w:numPr>
          <w:ilvl w:val="0"/>
          <w:numId w:val="13"/>
        </w:numPr>
      </w:pPr>
      <w:bookmarkStart w:id="14" w:name="_Toc14"/>
      <w:r>
        <w:rPr>
          <w:rStyle w:val="None"/>
          <w:lang w:val="en-US"/>
        </w:rPr>
        <w:t>Equal Opportunities</w:t>
      </w:r>
      <w:bookmarkEnd w:id="14"/>
    </w:p>
    <w:p w14:paraId="426E7F9B" w14:textId="77777777" w:rsidR="004C2308" w:rsidRDefault="00A727CB">
      <w:pPr>
        <w:pStyle w:val="NoSpacing"/>
        <w:ind w:left="720"/>
      </w:pPr>
      <w:r>
        <w:rPr>
          <w:rStyle w:val="None"/>
        </w:rPr>
        <w:t>The Governing Board will ensure that the school enables pupils with medical conditions to participate in school trips and visits, or in sporting activities, and not prevent them from doing so.</w:t>
      </w:r>
    </w:p>
    <w:p w14:paraId="2422465C" w14:textId="77777777" w:rsidR="004C2308" w:rsidRDefault="00A727CB">
      <w:pPr>
        <w:pStyle w:val="NoSpacing"/>
        <w:ind w:left="720"/>
        <w:rPr>
          <w:rStyle w:val="None"/>
        </w:rPr>
      </w:pPr>
      <w:r>
        <w:rPr>
          <w:rStyle w:val="None"/>
        </w:rPr>
        <w:t xml:space="preserve">The school will consider what reasonable adjustments need to be made to enable these pupils to participate fully and safely on school trips, visits and sporting activities. </w:t>
      </w:r>
    </w:p>
    <w:p w14:paraId="51F20439" w14:textId="77777777" w:rsidR="004C2308" w:rsidRDefault="00A727CB">
      <w:pPr>
        <w:pStyle w:val="NoSpacing"/>
        <w:ind w:left="720"/>
        <w:rPr>
          <w:rStyle w:val="None"/>
        </w:rPr>
      </w:pPr>
      <w:r>
        <w:rPr>
          <w:rStyle w:val="None"/>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4C98DF84" w14:textId="77777777" w:rsidR="004C2308" w:rsidRDefault="00A727CB">
      <w:pPr>
        <w:pStyle w:val="NoSpacing"/>
        <w:ind w:left="1440"/>
        <w:rPr>
          <w:rStyle w:val="None"/>
        </w:rPr>
      </w:pPr>
      <w:r>
        <w:rPr>
          <w:rStyle w:val="None"/>
        </w:rPr>
        <w:t>The school acknowledges the Equalities Act 2010 and schools</w:t>
      </w:r>
      <w:r>
        <w:rPr>
          <w:rStyle w:val="None"/>
          <w:vertAlign w:val="superscript"/>
        </w:rPr>
        <w:footnoteReference w:id="5"/>
      </w:r>
      <w:r>
        <w:rPr>
          <w:rStyle w:val="None"/>
        </w:rPr>
        <w:t xml:space="preserve"> and works proactively to support all its pupils.</w:t>
      </w:r>
    </w:p>
    <w:p w14:paraId="1FC39882" w14:textId="77777777" w:rsidR="004C2308" w:rsidRDefault="004C2308">
      <w:pPr>
        <w:pStyle w:val="NoSpacing"/>
        <w:rPr>
          <w:rStyle w:val="None"/>
        </w:rPr>
      </w:pPr>
    </w:p>
    <w:p w14:paraId="2DBE66A1" w14:textId="77777777" w:rsidR="004C2308" w:rsidRDefault="004C2308">
      <w:pPr>
        <w:pStyle w:val="NoSpacing"/>
        <w:rPr>
          <w:rStyle w:val="None"/>
        </w:rPr>
      </w:pPr>
    </w:p>
    <w:p w14:paraId="7C73F930" w14:textId="77777777" w:rsidR="004C2308" w:rsidRDefault="00A727CB">
      <w:pPr>
        <w:pStyle w:val="Heading"/>
        <w:numPr>
          <w:ilvl w:val="0"/>
          <w:numId w:val="13"/>
        </w:numPr>
      </w:pPr>
      <w:bookmarkStart w:id="15" w:name="_Toc15"/>
      <w:r>
        <w:rPr>
          <w:rStyle w:val="None"/>
          <w:lang w:val="en-US"/>
        </w:rPr>
        <w:t>Unacceptable Practice:</w:t>
      </w:r>
      <w:bookmarkEnd w:id="15"/>
    </w:p>
    <w:p w14:paraId="082BAA51" w14:textId="77777777" w:rsidR="004C2308" w:rsidRDefault="00A727CB">
      <w:pPr>
        <w:pStyle w:val="NoSpacing"/>
        <w:ind w:left="720"/>
      </w:pPr>
      <w:r>
        <w:rPr>
          <w:rStyle w:val="None"/>
        </w:rPr>
        <w:t>Although school staff are encouraged to use their professional discretion and judge each case on its merits with reference to the child’s individual healthcare plan, it is not generally acceptable practice to:</w:t>
      </w:r>
    </w:p>
    <w:p w14:paraId="0E318CEB" w14:textId="77777777" w:rsidR="004C2308" w:rsidRDefault="00A727CB">
      <w:pPr>
        <w:pStyle w:val="NoSpacing"/>
        <w:numPr>
          <w:ilvl w:val="0"/>
          <w:numId w:val="31"/>
        </w:numPr>
      </w:pPr>
      <w:r>
        <w:rPr>
          <w:rStyle w:val="None"/>
        </w:rPr>
        <w:lastRenderedPageBreak/>
        <w:t xml:space="preserve">prevent children from easily accessing their inhalers and medication and administering their medication when and where necessary; </w:t>
      </w:r>
    </w:p>
    <w:p w14:paraId="1DF7BC49" w14:textId="77777777" w:rsidR="004C2308" w:rsidRDefault="00A727CB">
      <w:pPr>
        <w:pStyle w:val="NoSpacing"/>
        <w:numPr>
          <w:ilvl w:val="0"/>
          <w:numId w:val="31"/>
        </w:numPr>
      </w:pPr>
      <w:r>
        <w:rPr>
          <w:rStyle w:val="None"/>
        </w:rPr>
        <w:t>assume that every child with the same condition requires the same treatment;</w:t>
      </w:r>
    </w:p>
    <w:p w14:paraId="43FEF6BD" w14:textId="77777777" w:rsidR="004C2308" w:rsidRDefault="00A727CB">
      <w:pPr>
        <w:pStyle w:val="NoSpacing"/>
        <w:numPr>
          <w:ilvl w:val="0"/>
          <w:numId w:val="31"/>
        </w:numPr>
      </w:pPr>
      <w:r>
        <w:rPr>
          <w:rStyle w:val="None"/>
        </w:rPr>
        <w:t xml:space="preserve">ignore the views of the child or their parents; or ignore medical evidence or opinion (although this may be challenged); </w:t>
      </w:r>
    </w:p>
    <w:p w14:paraId="274C8FAC" w14:textId="77777777" w:rsidR="004C2308" w:rsidRDefault="00A727CB">
      <w:pPr>
        <w:pStyle w:val="NoSpacing"/>
        <w:numPr>
          <w:ilvl w:val="0"/>
          <w:numId w:val="31"/>
        </w:numPr>
      </w:pPr>
      <w:r>
        <w:rPr>
          <w:rStyle w:val="None"/>
        </w:rPr>
        <w:t xml:space="preserve">send children with medical conditions home frequently for reasons associated with their medical condition or prevent them from staying for normal school activities, including lunch, unless this is specified in their individual healthcare plans; </w:t>
      </w:r>
    </w:p>
    <w:p w14:paraId="3F307940" w14:textId="77777777" w:rsidR="004C2308" w:rsidRDefault="00A727CB">
      <w:pPr>
        <w:pStyle w:val="NoSpacing"/>
        <w:numPr>
          <w:ilvl w:val="0"/>
          <w:numId w:val="31"/>
        </w:numPr>
      </w:pPr>
      <w:r>
        <w:rPr>
          <w:rStyle w:val="None"/>
        </w:rPr>
        <w:t xml:space="preserve">if the child becomes ill, send them to the school office or medical room unaccompanied or with someone unsuitable; </w:t>
      </w:r>
    </w:p>
    <w:p w14:paraId="41A855D4" w14:textId="77777777" w:rsidR="004C2308" w:rsidRDefault="00A727CB">
      <w:pPr>
        <w:pStyle w:val="NoSpacing"/>
        <w:numPr>
          <w:ilvl w:val="0"/>
          <w:numId w:val="31"/>
        </w:numPr>
      </w:pPr>
      <w:r>
        <w:rPr>
          <w:rStyle w:val="None"/>
        </w:rPr>
        <w:t>penalise children for their attendance record if their absences are related to their medical condition, e.g. hospital appointments;</w:t>
      </w:r>
    </w:p>
    <w:p w14:paraId="71F18E17" w14:textId="77777777" w:rsidR="004C2308" w:rsidRDefault="00A727CB">
      <w:pPr>
        <w:pStyle w:val="NoSpacing"/>
        <w:numPr>
          <w:ilvl w:val="0"/>
          <w:numId w:val="31"/>
        </w:numPr>
      </w:pPr>
      <w:r>
        <w:rPr>
          <w:rStyle w:val="None"/>
        </w:rPr>
        <w:t xml:space="preserve">prevent pupils from drinking, eating or taking toilet or other breaks whenever they need to in order to manage their medical condition effectively; </w:t>
      </w:r>
    </w:p>
    <w:p w14:paraId="5AE4EDA8" w14:textId="77777777" w:rsidR="004C2308" w:rsidRDefault="00A727CB">
      <w:pPr>
        <w:pStyle w:val="NoSpacing"/>
        <w:numPr>
          <w:ilvl w:val="0"/>
          <w:numId w:val="31"/>
        </w:numPr>
      </w:pPr>
      <w:r>
        <w:rPr>
          <w:rStyle w:val="None"/>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14:paraId="1B7E360D" w14:textId="77777777" w:rsidR="004C2308" w:rsidRDefault="00A727CB">
      <w:pPr>
        <w:pStyle w:val="NoSpacing"/>
        <w:numPr>
          <w:ilvl w:val="0"/>
          <w:numId w:val="31"/>
        </w:numPr>
      </w:pPr>
      <w:r>
        <w:rPr>
          <w:rStyle w:val="None"/>
        </w:rPr>
        <w:t>prevent children from participating, or create unnecessary barriers to children participating in any aspect of school life, including school trips, e.g. by requiring parents to accompany the child.</w:t>
      </w:r>
    </w:p>
    <w:p w14:paraId="53EC5967" w14:textId="77777777" w:rsidR="004C2308" w:rsidRDefault="004C2308">
      <w:pPr>
        <w:pStyle w:val="NoSpacing"/>
        <w:ind w:left="720"/>
      </w:pPr>
    </w:p>
    <w:p w14:paraId="2D2EA59A" w14:textId="77777777" w:rsidR="004C2308" w:rsidRDefault="00A727CB">
      <w:pPr>
        <w:pStyle w:val="Heading"/>
        <w:numPr>
          <w:ilvl w:val="0"/>
          <w:numId w:val="32"/>
        </w:numPr>
      </w:pPr>
      <w:bookmarkStart w:id="16" w:name="_Toc16"/>
      <w:r>
        <w:rPr>
          <w:rStyle w:val="None"/>
          <w:lang w:val="en-US"/>
        </w:rPr>
        <w:t>Liability &amp; Indemnity</w:t>
      </w:r>
      <w:bookmarkEnd w:id="16"/>
    </w:p>
    <w:p w14:paraId="7193CEF9" w14:textId="77777777" w:rsidR="004C2308" w:rsidRDefault="00A727CB">
      <w:pPr>
        <w:pStyle w:val="NoSpacing"/>
        <w:ind w:left="720"/>
      </w:pPr>
      <w:r>
        <w:rPr>
          <w:rStyle w:val="None"/>
        </w:rPr>
        <w:t>The Governing Board will ensure that the appropriate level of insurance is in place and appropriately reflects the level of risk. Proprietors of academies will ensure that either the appropriate level of insurance is in place or that the academy is a member of the Department for Education’s Risk Protection Arrangement (RPA).</w:t>
      </w:r>
    </w:p>
    <w:p w14:paraId="4E7811FB" w14:textId="77777777" w:rsidR="004C2308" w:rsidRDefault="004C2308">
      <w:pPr>
        <w:pStyle w:val="NoSpacing"/>
      </w:pPr>
    </w:p>
    <w:p w14:paraId="6F5696D5" w14:textId="77777777" w:rsidR="004C2308" w:rsidRDefault="00A727CB">
      <w:pPr>
        <w:pStyle w:val="Heading"/>
        <w:numPr>
          <w:ilvl w:val="0"/>
          <w:numId w:val="13"/>
        </w:numPr>
      </w:pPr>
      <w:bookmarkStart w:id="17" w:name="_Toc17"/>
      <w:r>
        <w:rPr>
          <w:rStyle w:val="None"/>
          <w:lang w:val="en-US"/>
        </w:rPr>
        <w:t>Complaints</w:t>
      </w:r>
      <w:bookmarkEnd w:id="17"/>
    </w:p>
    <w:p w14:paraId="67E5629C" w14:textId="77777777" w:rsidR="004C2308" w:rsidRDefault="00A727CB">
      <w:pPr>
        <w:pStyle w:val="NoSpacing"/>
        <w:ind w:left="720"/>
      </w:pPr>
      <w:r>
        <w:rPr>
          <w:rStyle w:val="None"/>
        </w:rPr>
        <w:t>The Governing Board will ensure that the school’s policy sets out how complaints concerning the support provided to pupils with medical conditions may be made and will be handled.</w:t>
      </w:r>
    </w:p>
    <w:sectPr w:rsidR="004C2308">
      <w:headerReference w:type="default" r:id="rId8"/>
      <w:footerReference w:type="default" r:id="rId9"/>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FD88" w14:textId="77777777" w:rsidR="005C6881" w:rsidRDefault="005C6881">
      <w:r>
        <w:separator/>
      </w:r>
    </w:p>
  </w:endnote>
  <w:endnote w:type="continuationSeparator" w:id="0">
    <w:p w14:paraId="4918A32D" w14:textId="77777777" w:rsidR="005C6881" w:rsidRDefault="005C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Script Pro">
    <w:charset w:val="00"/>
    <w:family w:val="script"/>
    <w:pitch w:val="variable"/>
    <w:sig w:usb0="800000EF" w:usb1="0000000A" w:usb2="00000008"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7157" w14:textId="77777777" w:rsidR="004C2308" w:rsidRDefault="00A727CB">
    <w:pPr>
      <w:pStyle w:val="Footer"/>
    </w:pPr>
    <w:r>
      <w:rPr>
        <w:sz w:val="18"/>
        <w:szCs w:val="18"/>
      </w:rPr>
      <w:t>Policy For Supporting Pupils With Medical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83D0" w14:textId="77777777" w:rsidR="005C6881" w:rsidRDefault="005C6881">
      <w:r>
        <w:separator/>
      </w:r>
    </w:p>
  </w:footnote>
  <w:footnote w:type="continuationSeparator" w:id="0">
    <w:p w14:paraId="51BAD265" w14:textId="77777777" w:rsidR="005C6881" w:rsidRDefault="005C6881">
      <w:r>
        <w:continuationSeparator/>
      </w:r>
    </w:p>
  </w:footnote>
  <w:footnote w:type="continuationNotice" w:id="1">
    <w:p w14:paraId="652721A6" w14:textId="77777777" w:rsidR="005C6881" w:rsidRDefault="005C6881"/>
  </w:footnote>
  <w:footnote w:id="2">
    <w:p w14:paraId="72E6B266" w14:textId="77777777" w:rsidR="004C2308" w:rsidRDefault="00A727CB">
      <w:pPr>
        <w:pStyle w:val="FootnoteText"/>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http://www.legislation.gov.uk/ukpga/2014/6/section/100/enacted</w:t>
        </w:r>
      </w:hyperlink>
    </w:p>
  </w:footnote>
  <w:footnote w:id="3">
    <w:p w14:paraId="1756DCA2" w14:textId="77777777" w:rsidR="004C2308" w:rsidRDefault="00A727CB">
      <w:pPr>
        <w:pStyle w:val="FootnoteText"/>
      </w:pPr>
      <w:r>
        <w:rPr>
          <w:rStyle w:val="None"/>
          <w:vertAlign w:val="superscript"/>
        </w:rPr>
        <w:footnoteRef/>
      </w:r>
      <w:hyperlink r:id="rId2" w:history="1">
        <w:r>
          <w:rPr>
            <w:rStyle w:val="Hyperlink0"/>
            <w:rFonts w:eastAsia="Arial Unicode MS" w:cs="Arial Unicode MS"/>
          </w:rPr>
          <w:t>https://assets.publishing.service.gov.uk/government/uploads/system/uploads/attachment_data/file/803956/supporting-pupils-at-school-with-medical-conditions.pdf</w:t>
        </w:r>
      </w:hyperlink>
    </w:p>
  </w:footnote>
  <w:footnote w:id="4">
    <w:p w14:paraId="7A5AE3C7" w14:textId="77777777" w:rsidR="004C2308" w:rsidRDefault="00A727CB">
      <w:pPr>
        <w:pStyle w:val="FootnoteText"/>
      </w:pPr>
      <w:r>
        <w:rPr>
          <w:rStyle w:val="None"/>
          <w:vertAlign w:val="superscript"/>
        </w:rPr>
        <w:footnoteRef/>
      </w:r>
      <w:r>
        <w:rPr>
          <w:rStyle w:val="None"/>
          <w:rFonts w:eastAsia="Arial Unicode MS" w:cs="Arial Unicode MS"/>
        </w:rPr>
        <w:t xml:space="preserve"> </w:t>
      </w:r>
      <w:hyperlink r:id="rId3" w:history="1">
        <w:r>
          <w:rPr>
            <w:rStyle w:val="Hyperlink0"/>
            <w:rFonts w:eastAsia="Arial Unicode MS" w:cs="Arial Unicode MS"/>
          </w:rPr>
          <w:t>http://www.legislation.gov.uk/uksi/2001/3998/contents/made</w:t>
        </w:r>
      </w:hyperlink>
    </w:p>
  </w:footnote>
  <w:footnote w:id="5">
    <w:p w14:paraId="0BE13A97" w14:textId="77777777" w:rsidR="004C2308" w:rsidRDefault="00A727CB">
      <w:pPr>
        <w:pStyle w:val="FootnoteText"/>
      </w:pPr>
      <w:r>
        <w:rPr>
          <w:rStyle w:val="None"/>
          <w:vertAlign w:val="superscript"/>
        </w:rPr>
        <w:footnoteRef/>
      </w:r>
      <w:hyperlink r:id="rId4" w:history="1">
        <w:r>
          <w:rPr>
            <w:rStyle w:val="Hyperlink0"/>
            <w:rFonts w:eastAsia="Arial Unicode MS" w:cs="Arial Unicode MS"/>
          </w:rPr>
          <w:t>https://assets.publishing.service.gov.uk/government/uploads/system/uploads/attachment_data/file/315587/Equality_Act_Advice_Final.pdf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AD8D" w14:textId="77777777" w:rsidR="004C2308" w:rsidRDefault="004C2308">
    <w:pPr>
      <w:pStyle w:val="Header"/>
      <w:tabs>
        <w:tab w:val="clear" w:pos="4513"/>
        <w:tab w:val="clear" w:pos="9026"/>
        <w:tab w:val="left" w:pos="11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4F2E"/>
    <w:multiLevelType w:val="hybridMultilevel"/>
    <w:tmpl w:val="2424C7A8"/>
    <w:numStyleLink w:val="ImportedStyle1"/>
  </w:abstractNum>
  <w:abstractNum w:abstractNumId="1" w15:restartNumberingAfterBreak="0">
    <w:nsid w:val="060E014C"/>
    <w:multiLevelType w:val="hybridMultilevel"/>
    <w:tmpl w:val="96B87F08"/>
    <w:numStyleLink w:val="ImportedStyle7"/>
  </w:abstractNum>
  <w:abstractNum w:abstractNumId="2" w15:restartNumberingAfterBreak="0">
    <w:nsid w:val="13320F01"/>
    <w:multiLevelType w:val="hybridMultilevel"/>
    <w:tmpl w:val="B22E225E"/>
    <w:styleLink w:val="ImportedStyle5"/>
    <w:lvl w:ilvl="0" w:tplc="B0DA2DC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3A99F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10B2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46D18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6E7B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E2EB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DCE8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876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7C87F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C116F5"/>
    <w:multiLevelType w:val="hybridMultilevel"/>
    <w:tmpl w:val="B22E225E"/>
    <w:numStyleLink w:val="ImportedStyle5"/>
  </w:abstractNum>
  <w:abstractNum w:abstractNumId="4" w15:restartNumberingAfterBreak="0">
    <w:nsid w:val="1BCD4F8B"/>
    <w:multiLevelType w:val="hybridMultilevel"/>
    <w:tmpl w:val="9906F4B0"/>
    <w:lvl w:ilvl="0" w:tplc="B512F318">
      <w:start w:val="1"/>
      <w:numFmt w:val="decimal"/>
      <w:lvlText w:val="%1."/>
      <w:lvlJc w:val="left"/>
      <w:pPr>
        <w:ind w:left="608" w:hanging="248"/>
      </w:pPr>
      <w:rPr>
        <w:rFonts w:hAnsi="Arial Unicode MS"/>
        <w:caps w:val="0"/>
        <w:smallCaps w:val="0"/>
        <w:strike w:val="0"/>
        <w:dstrike w:val="0"/>
        <w:outline w:val="0"/>
        <w:emboss w:val="0"/>
        <w:imprint w:val="0"/>
        <w:spacing w:val="0"/>
        <w:w w:val="100"/>
        <w:kern w:val="0"/>
        <w:position w:val="0"/>
        <w:highlight w:val="none"/>
        <w:vertAlign w:val="baseline"/>
      </w:rPr>
    </w:lvl>
    <w:lvl w:ilvl="1" w:tplc="917606D8">
      <w:start w:val="1"/>
      <w:numFmt w:val="lowerLetter"/>
      <w:lvlText w:val="%2."/>
      <w:lvlJc w:val="left"/>
      <w:pPr>
        <w:ind w:left="1328" w:hanging="248"/>
      </w:pPr>
      <w:rPr>
        <w:rFonts w:hAnsi="Arial Unicode MS"/>
        <w:caps w:val="0"/>
        <w:smallCaps w:val="0"/>
        <w:strike w:val="0"/>
        <w:dstrike w:val="0"/>
        <w:outline w:val="0"/>
        <w:emboss w:val="0"/>
        <w:imprint w:val="0"/>
        <w:spacing w:val="0"/>
        <w:w w:val="100"/>
        <w:kern w:val="0"/>
        <w:position w:val="0"/>
        <w:highlight w:val="none"/>
        <w:vertAlign w:val="baseline"/>
      </w:rPr>
    </w:lvl>
    <w:lvl w:ilvl="2" w:tplc="E97CFDDE">
      <w:start w:val="1"/>
      <w:numFmt w:val="lowerRoman"/>
      <w:lvlText w:val="%3."/>
      <w:lvlJc w:val="left"/>
      <w:pPr>
        <w:ind w:left="204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F2FA109A">
      <w:start w:val="1"/>
      <w:numFmt w:val="decimal"/>
      <w:lvlText w:val="%4."/>
      <w:lvlJc w:val="left"/>
      <w:pPr>
        <w:ind w:left="2768"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3CDA0998">
      <w:start w:val="1"/>
      <w:numFmt w:val="lowerLetter"/>
      <w:lvlText w:val="%5."/>
      <w:lvlJc w:val="left"/>
      <w:pPr>
        <w:ind w:left="3488"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66F2C1F4">
      <w:start w:val="1"/>
      <w:numFmt w:val="lowerRoman"/>
      <w:lvlText w:val="%6."/>
      <w:lvlJc w:val="left"/>
      <w:pPr>
        <w:ind w:left="420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24729CF6">
      <w:start w:val="1"/>
      <w:numFmt w:val="decimal"/>
      <w:lvlText w:val="%7."/>
      <w:lvlJc w:val="left"/>
      <w:pPr>
        <w:ind w:left="4928"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223A7F8A">
      <w:start w:val="1"/>
      <w:numFmt w:val="lowerLetter"/>
      <w:lvlText w:val="%8."/>
      <w:lvlJc w:val="left"/>
      <w:pPr>
        <w:ind w:left="5648" w:hanging="248"/>
      </w:pPr>
      <w:rPr>
        <w:rFonts w:hAnsi="Arial Unicode MS"/>
        <w:caps w:val="0"/>
        <w:smallCaps w:val="0"/>
        <w:strike w:val="0"/>
        <w:dstrike w:val="0"/>
        <w:outline w:val="0"/>
        <w:emboss w:val="0"/>
        <w:imprint w:val="0"/>
        <w:spacing w:val="0"/>
        <w:w w:val="100"/>
        <w:kern w:val="0"/>
        <w:position w:val="0"/>
        <w:highlight w:val="none"/>
        <w:vertAlign w:val="baseline"/>
      </w:rPr>
    </w:lvl>
    <w:lvl w:ilvl="8" w:tplc="72DE1A24">
      <w:start w:val="1"/>
      <w:numFmt w:val="lowerRoman"/>
      <w:lvlText w:val="%9."/>
      <w:lvlJc w:val="left"/>
      <w:pPr>
        <w:ind w:left="636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0A4589"/>
    <w:multiLevelType w:val="hybridMultilevel"/>
    <w:tmpl w:val="96B87F08"/>
    <w:styleLink w:val="ImportedStyle7"/>
    <w:lvl w:ilvl="0" w:tplc="F5BE14E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AAE41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4266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AAF5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68591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1404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4C6F5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C8C7B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B45F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AC6C02"/>
    <w:multiLevelType w:val="hybridMultilevel"/>
    <w:tmpl w:val="CFD2534C"/>
    <w:styleLink w:val="ImportedStyle8"/>
    <w:lvl w:ilvl="0" w:tplc="EFE6D06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62800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B888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D4545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233C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0069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F4361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E250C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7A4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913D5B"/>
    <w:multiLevelType w:val="hybridMultilevel"/>
    <w:tmpl w:val="A13E3CE0"/>
    <w:numStyleLink w:val="ImportedStyle2"/>
  </w:abstractNum>
  <w:abstractNum w:abstractNumId="8" w15:restartNumberingAfterBreak="0">
    <w:nsid w:val="34026CF7"/>
    <w:multiLevelType w:val="hybridMultilevel"/>
    <w:tmpl w:val="2424C7A8"/>
    <w:styleLink w:val="ImportedStyle1"/>
    <w:lvl w:ilvl="0" w:tplc="0A26D6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5C19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7EE870">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9DF2BD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1A2F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E7F88">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264A68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9062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E9EAA">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9F1791"/>
    <w:multiLevelType w:val="hybridMultilevel"/>
    <w:tmpl w:val="7FBE1E58"/>
    <w:styleLink w:val="ImportedStyle6"/>
    <w:lvl w:ilvl="0" w:tplc="661C9A1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B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366E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BCBE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A08FB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AA1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9BC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9E114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14124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D130F22"/>
    <w:multiLevelType w:val="hybridMultilevel"/>
    <w:tmpl w:val="F6281248"/>
    <w:numStyleLink w:val="ImportedStyle3"/>
  </w:abstractNum>
  <w:abstractNum w:abstractNumId="11" w15:restartNumberingAfterBreak="0">
    <w:nsid w:val="4DEC19D2"/>
    <w:multiLevelType w:val="hybridMultilevel"/>
    <w:tmpl w:val="A13E3CE0"/>
    <w:styleLink w:val="ImportedStyle2"/>
    <w:lvl w:ilvl="0" w:tplc="E7F428F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3CDAD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8E4F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CA1B3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FC0C4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8C56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06577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3673C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EE14E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EE247D"/>
    <w:multiLevelType w:val="hybridMultilevel"/>
    <w:tmpl w:val="CFD2534C"/>
    <w:numStyleLink w:val="ImportedStyle8"/>
  </w:abstractNum>
  <w:abstractNum w:abstractNumId="13" w15:restartNumberingAfterBreak="0">
    <w:nsid w:val="62693293"/>
    <w:multiLevelType w:val="hybridMultilevel"/>
    <w:tmpl w:val="CAD4BBC8"/>
    <w:numStyleLink w:val="ImportedStyle4"/>
  </w:abstractNum>
  <w:abstractNum w:abstractNumId="14" w15:restartNumberingAfterBreak="0">
    <w:nsid w:val="69A5383E"/>
    <w:multiLevelType w:val="hybridMultilevel"/>
    <w:tmpl w:val="CAD4BBC8"/>
    <w:styleLink w:val="ImportedStyle4"/>
    <w:lvl w:ilvl="0" w:tplc="6EDAFF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A6FF0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EF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58041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6AD4C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9679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0E8C8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2661A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50BEE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700FEC"/>
    <w:multiLevelType w:val="hybridMultilevel"/>
    <w:tmpl w:val="F6281248"/>
    <w:styleLink w:val="ImportedStyle3"/>
    <w:lvl w:ilvl="0" w:tplc="AE48A0E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B0DBE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65C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76555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44E74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3E01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C44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C7E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0612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BFF2813"/>
    <w:multiLevelType w:val="hybridMultilevel"/>
    <w:tmpl w:val="7FBE1E58"/>
    <w:numStyleLink w:val="ImportedStyle6"/>
  </w:abstractNum>
  <w:num w:numId="1" w16cid:durableId="71514552">
    <w:abstractNumId w:val="4"/>
  </w:num>
  <w:num w:numId="2" w16cid:durableId="678699259">
    <w:abstractNumId w:val="4"/>
    <w:lvlOverride w:ilvl="0">
      <w:startOverride w:val="2"/>
    </w:lvlOverride>
  </w:num>
  <w:num w:numId="3" w16cid:durableId="300379878">
    <w:abstractNumId w:val="4"/>
    <w:lvlOverride w:ilvl="0">
      <w:startOverride w:val="3"/>
    </w:lvlOverride>
  </w:num>
  <w:num w:numId="4" w16cid:durableId="1681157670">
    <w:abstractNumId w:val="4"/>
    <w:lvlOverride w:ilvl="0">
      <w:startOverride w:val="4"/>
    </w:lvlOverride>
  </w:num>
  <w:num w:numId="5" w16cid:durableId="563181821">
    <w:abstractNumId w:val="4"/>
    <w:lvlOverride w:ilvl="0">
      <w:startOverride w:val="5"/>
    </w:lvlOverride>
  </w:num>
  <w:num w:numId="6" w16cid:durableId="224411855">
    <w:abstractNumId w:val="4"/>
    <w:lvlOverride w:ilvl="0">
      <w:startOverride w:val="6"/>
    </w:lvlOverride>
  </w:num>
  <w:num w:numId="7" w16cid:durableId="1646154959">
    <w:abstractNumId w:val="4"/>
    <w:lvlOverride w:ilvl="0">
      <w:startOverride w:val="7"/>
    </w:lvlOverride>
  </w:num>
  <w:num w:numId="8" w16cid:durableId="1000963638">
    <w:abstractNumId w:val="4"/>
    <w:lvlOverride w:ilvl="0">
      <w:startOverride w:val="8"/>
    </w:lvlOverride>
  </w:num>
  <w:num w:numId="9" w16cid:durableId="1391465486">
    <w:abstractNumId w:val="4"/>
    <w:lvlOverride w:ilvl="0">
      <w:startOverride w:val="9"/>
    </w:lvlOverride>
  </w:num>
  <w:num w:numId="10" w16cid:durableId="272638653">
    <w:abstractNumId w:val="4"/>
    <w:lvlOverride w:ilvl="0">
      <w:startOverride w:val="10"/>
    </w:lvlOverride>
  </w:num>
  <w:num w:numId="11" w16cid:durableId="1535843663">
    <w:abstractNumId w:val="4"/>
    <w:lvlOverride w:ilvl="0">
      <w:startOverride w:val="11"/>
    </w:lvlOverride>
  </w:num>
  <w:num w:numId="12" w16cid:durableId="892958882">
    <w:abstractNumId w:val="8"/>
  </w:num>
  <w:num w:numId="13" w16cid:durableId="1380975815">
    <w:abstractNumId w:val="0"/>
  </w:num>
  <w:num w:numId="14" w16cid:durableId="812334419">
    <w:abstractNumId w:val="11"/>
  </w:num>
  <w:num w:numId="15" w16cid:durableId="2088459438">
    <w:abstractNumId w:val="7"/>
  </w:num>
  <w:num w:numId="16" w16cid:durableId="1865245473">
    <w:abstractNumId w:val="15"/>
  </w:num>
  <w:num w:numId="17" w16cid:durableId="1193375562">
    <w:abstractNumId w:val="10"/>
  </w:num>
  <w:num w:numId="18" w16cid:durableId="1380545727">
    <w:abstractNumId w:val="0"/>
    <w:lvlOverride w:ilvl="0">
      <w:startOverride w:val="2"/>
    </w:lvlOverride>
  </w:num>
  <w:num w:numId="19" w16cid:durableId="632633513">
    <w:abstractNumId w:val="14"/>
  </w:num>
  <w:num w:numId="20" w16cid:durableId="494880099">
    <w:abstractNumId w:val="13"/>
  </w:num>
  <w:num w:numId="21" w16cid:durableId="229775132">
    <w:abstractNumId w:val="0"/>
    <w:lvlOverride w:ilvl="0">
      <w:startOverride w:val="4"/>
    </w:lvlOverride>
  </w:num>
  <w:num w:numId="22" w16cid:durableId="2036493436">
    <w:abstractNumId w:val="2"/>
  </w:num>
  <w:num w:numId="23" w16cid:durableId="1992250057">
    <w:abstractNumId w:val="3"/>
  </w:num>
  <w:num w:numId="24" w16cid:durableId="213586457">
    <w:abstractNumId w:val="0"/>
    <w:lvlOverride w:ilvl="0">
      <w:startOverride w:val="5"/>
    </w:lvlOverride>
  </w:num>
  <w:num w:numId="25" w16cid:durableId="1537817238">
    <w:abstractNumId w:val="9"/>
  </w:num>
  <w:num w:numId="26" w16cid:durableId="477652629">
    <w:abstractNumId w:val="16"/>
  </w:num>
  <w:num w:numId="27" w16cid:durableId="1038816913">
    <w:abstractNumId w:val="5"/>
  </w:num>
  <w:num w:numId="28" w16cid:durableId="404574902">
    <w:abstractNumId w:val="1"/>
  </w:num>
  <w:num w:numId="29" w16cid:durableId="796530873">
    <w:abstractNumId w:val="0"/>
    <w:lvlOverride w:ilvl="0">
      <w:startOverride w:val="7"/>
    </w:lvlOverride>
  </w:num>
  <w:num w:numId="30" w16cid:durableId="1215235566">
    <w:abstractNumId w:val="6"/>
  </w:num>
  <w:num w:numId="31" w16cid:durableId="42993794">
    <w:abstractNumId w:val="12"/>
  </w:num>
  <w:num w:numId="32" w16cid:durableId="22433775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08"/>
    <w:rsid w:val="004C2308"/>
    <w:rsid w:val="005C6881"/>
    <w:rsid w:val="005F65F1"/>
    <w:rsid w:val="00947DC0"/>
    <w:rsid w:val="00A7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8ABC"/>
  <w15:docId w15:val="{565B2731-FC08-4388-888C-AC999826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B"/>
    <w:uiPriority w:val="9"/>
    <w:unhideWhenUsed/>
    <w:qFormat/>
    <w:pPr>
      <w:keepNext/>
      <w:keepLines/>
      <w:spacing w:before="40" w:line="259" w:lineRule="auto"/>
      <w:outlineLvl w:val="1"/>
    </w:pPr>
    <w:rPr>
      <w:rFonts w:ascii="Calibri Light" w:eastAsia="Calibri Light" w:hAnsi="Calibri Light" w:cs="Calibri Light"/>
      <w:color w:val="2F5496"/>
      <w:sz w:val="26"/>
      <w:szCs w:val="26"/>
      <w:u w:color="2F5496"/>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Pr>
      <w:rFonts w:eastAsia="Times New Roman"/>
      <w:color w:val="000000"/>
      <w:sz w:val="24"/>
      <w:szCs w:val="24"/>
      <w:u w:color="000000"/>
      <w:lang w:val="en-US"/>
    </w:rPr>
  </w:style>
  <w:style w:type="paragraph" w:customStyle="1" w:styleId="BodyB">
    <w:name w:val="Body B"/>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TOCHeading">
    <w:name w:val="TOC Heading"/>
    <w:next w:val="BodyB"/>
    <w:pPr>
      <w:keepNext/>
      <w:keepLines/>
      <w:spacing w:before="240" w:line="259" w:lineRule="auto"/>
    </w:pPr>
    <w:rPr>
      <w:rFonts w:ascii="Calibri Light" w:hAnsi="Calibri Light" w:cs="Arial Unicode MS"/>
      <w:color w:val="2F5496"/>
      <w:sz w:val="32"/>
      <w:szCs w:val="32"/>
      <w:u w:color="2F5496"/>
      <w:lang w:val="en-US"/>
    </w:rPr>
  </w:style>
  <w:style w:type="paragraph" w:styleId="TOC1">
    <w:name w:val="toc 1"/>
    <w:pPr>
      <w:tabs>
        <w:tab w:val="left" w:pos="440"/>
        <w:tab w:val="right" w:leader="dot" w:pos="9720"/>
      </w:tabs>
      <w:spacing w:after="100" w:line="259" w:lineRule="auto"/>
    </w:pPr>
    <w:rPr>
      <w:rFonts w:ascii="Calibri" w:eastAsia="Calibri" w:hAnsi="Calibri" w:cs="Calibri"/>
      <w:color w:val="000000"/>
      <w:sz w:val="22"/>
      <w:szCs w:val="22"/>
      <w:u w:color="000000"/>
      <w:lang w:val="en-US"/>
    </w:rPr>
  </w:style>
  <w:style w:type="paragraph" w:customStyle="1" w:styleId="Heading">
    <w:name w:val="Heading"/>
    <w:next w:val="BodyB"/>
    <w:pPr>
      <w:keepNext/>
      <w:keepLines/>
      <w:spacing w:before="240" w:line="259" w:lineRule="auto"/>
      <w:outlineLvl w:val="0"/>
    </w:pPr>
    <w:rPr>
      <w:rFonts w:ascii="Calibri Light" w:eastAsia="Calibri Light" w:hAnsi="Calibri Light" w:cs="Calibri Light"/>
      <w:color w:val="2F5496"/>
      <w:sz w:val="32"/>
      <w:szCs w:val="32"/>
      <w:u w:color="2F5496"/>
      <w14:textOutline w14:w="12700" w14:cap="flat" w14:cmpd="sng" w14:algn="ctr">
        <w14:noFill/>
        <w14:prstDash w14:val="solid"/>
        <w14:miter w14:lim="400000"/>
      </w14:textOutline>
    </w:rPr>
  </w:style>
  <w:style w:type="paragraph" w:styleId="TOC2">
    <w:name w:val="toc 2"/>
    <w:pPr>
      <w:tabs>
        <w:tab w:val="right" w:leader="dot" w:pos="9720"/>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12"/>
      </w:numPr>
    </w:pPr>
  </w:style>
  <w:style w:type="paragraph" w:styleId="NoSpacing">
    <w:name w:val="No Spacing"/>
    <w:rPr>
      <w:rFonts w:ascii="Calibri" w:hAnsi="Calibri" w:cs="Arial Unicode MS"/>
      <w:color w:val="000000"/>
      <w:sz w:val="22"/>
      <w:szCs w:val="22"/>
      <w:u w:color="000000"/>
      <w:lang w:val="en-US"/>
    </w:rPr>
  </w:style>
  <w:style w:type="numbering" w:customStyle="1" w:styleId="ImportedStyle2">
    <w:name w:val="Imported Style 2"/>
    <w:pPr>
      <w:numPr>
        <w:numId w:val="14"/>
      </w:numPr>
    </w:pPr>
  </w:style>
  <w:style w:type="numbering" w:customStyle="1" w:styleId="ImportedStyle3">
    <w:name w:val="Imported Style 3"/>
    <w:pPr>
      <w:numPr>
        <w:numId w:val="16"/>
      </w:numPr>
    </w:pPr>
  </w:style>
  <w:style w:type="paragraph" w:styleId="FootnoteText">
    <w:name w:val="footnote text"/>
    <w:rPr>
      <w:rFonts w:ascii="Calibri" w:eastAsia="Calibri" w:hAnsi="Calibri" w:cs="Calibri"/>
      <w:color w:val="000000"/>
      <w:u w:color="000000"/>
      <w:lang w:val="en-US"/>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4">
    <w:name w:val="Imported Style 4"/>
    <w:pPr>
      <w:numPr>
        <w:numId w:val="19"/>
      </w:numPr>
    </w:pPr>
  </w:style>
  <w:style w:type="numbering" w:customStyle="1" w:styleId="ImportedStyle5">
    <w:name w:val="Imported Style 5"/>
    <w:pPr>
      <w:numPr>
        <w:numId w:val="22"/>
      </w:numPr>
    </w:pPr>
  </w:style>
  <w:style w:type="numbering" w:customStyle="1" w:styleId="ImportedStyle6">
    <w:name w:val="Imported Style 6"/>
    <w:pPr>
      <w:numPr>
        <w:numId w:val="25"/>
      </w:numPr>
    </w:pPr>
  </w:style>
  <w:style w:type="numbering" w:customStyle="1" w:styleId="ImportedStyle7">
    <w:name w:val="Imported Style 7"/>
    <w:pPr>
      <w:numPr>
        <w:numId w:val="27"/>
      </w:numPr>
    </w:pPr>
  </w:style>
  <w:style w:type="numbering" w:customStyle="1" w:styleId="ImportedStyle8">
    <w:name w:val="Imported Style 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01/3998/contents/made" TargetMode="External"/><Relationship Id="rId2" Type="http://schemas.openxmlformats.org/officeDocument/2006/relationships/hyperlink" Target="https://assets.publishing.service.gov.uk/government/uploads/system/uploads/attachment_data/file/803956/supporting-pupils-at-school-with-medical-conditions.pdf" TargetMode="External"/><Relationship Id="rId1" Type="http://schemas.openxmlformats.org/officeDocument/2006/relationships/hyperlink" Target="http://www.legislation.gov.uk/ukpga/2014/6/section/100/enacted" TargetMode="External"/><Relationship Id="rId4" Type="http://schemas.openxmlformats.org/officeDocument/2006/relationships/hyperlink" Target="https://assets.publishing.service.gov.uk/government/uploads/system/uploads/attachment_data/file/315587/Equality_Act_Advice_Final.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Natalie Wilson</cp:lastModifiedBy>
  <cp:revision>2</cp:revision>
  <dcterms:created xsi:type="dcterms:W3CDTF">2024-05-07T10:41:00Z</dcterms:created>
  <dcterms:modified xsi:type="dcterms:W3CDTF">2024-05-07T10:41:00Z</dcterms:modified>
</cp:coreProperties>
</file>